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440" w:right="2880" w:hanging="414"/>
        <w:spacing w:after="0" w:line="279" w:lineRule="auto"/>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June 28, 2024 or</w:t>
      </w:r>
    </w:p>
    <w:p>
      <w:pPr>
        <w:spacing w:after="0" w:line="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001-33278</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AVIAT NETWORKS, INC.</w:t>
      </w:r>
    </w:p>
    <w:p>
      <w:pPr>
        <w:spacing w:after="0" w:line="5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302" w:lineRule="exact"/>
        <w:rPr>
          <w:sz w:val="24"/>
          <w:szCs w:val="24"/>
          <w:color w:val="auto"/>
        </w:rPr>
      </w:pPr>
    </w:p>
    <w:tbl>
      <w:tblPr>
        <w:tblLayout w:type="fixed"/>
        <w:tblInd w:w="260" w:type="dxa"/>
        <w:tblCellMar>
          <w:top w:w="0" w:type="dxa"/>
          <w:left w:w="0" w:type="dxa"/>
          <w:bottom w:w="0" w:type="dxa"/>
          <w:right w:w="0" w:type="dxa"/>
        </w:tblCellMar>
      </w:tblPr>
      <w:tr>
        <w:trPr>
          <w:trHeight w:val="215"/>
        </w:trPr>
        <w:tc>
          <w:tcPr>
            <w:tcW w:w="45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20-5961564</w:t>
            </w:r>
          </w:p>
        </w:tc>
      </w:tr>
      <w:tr>
        <w:trPr>
          <w:trHeight w:val="185"/>
        </w:trPr>
        <w:tc>
          <w:tcPr>
            <w:tcW w:w="4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619"/>
        </w:trPr>
        <w:tc>
          <w:tcPr>
            <w:tcW w:w="45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200 Parker Drive, Suite C100A,  Austin,  Texas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78728</w:t>
            </w:r>
          </w:p>
        </w:tc>
      </w:tr>
      <w:tr>
        <w:trPr>
          <w:trHeight w:val="185"/>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473"/>
        </w:trPr>
        <w:tc>
          <w:tcPr>
            <w:tcW w:w="8380" w:type="dxa"/>
            <w:vAlign w:val="bottom"/>
            <w:gridSpan w:val="5"/>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941-7100</w:t>
            </w:r>
          </w:p>
        </w:tc>
        <w:tc>
          <w:tcPr>
            <w:tcW w:w="2380" w:type="dxa"/>
            <w:vAlign w:val="bottom"/>
          </w:tcPr>
          <w:p>
            <w:pPr>
              <w:spacing w:after="0"/>
              <w:rPr>
                <w:sz w:val="24"/>
                <w:szCs w:val="24"/>
                <w:color w:val="auto"/>
              </w:rPr>
            </w:pPr>
          </w:p>
        </w:tc>
      </w:tr>
      <w:tr>
        <w:trPr>
          <w:trHeight w:val="257"/>
        </w:trPr>
        <w:tc>
          <w:tcPr>
            <w:tcW w:w="8380" w:type="dxa"/>
            <w:vAlign w:val="bottom"/>
            <w:gridSpan w:val="5"/>
          </w:tcPr>
          <w:p>
            <w:pPr>
              <w:jc w:val="right"/>
              <w:ind w:right="74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380" w:type="dxa"/>
            <w:vAlign w:val="bottom"/>
          </w:tcPr>
          <w:p>
            <w:pPr>
              <w:spacing w:after="0"/>
              <w:rPr>
                <w:sz w:val="22"/>
                <w:szCs w:val="22"/>
                <w:color w:val="auto"/>
              </w:rPr>
            </w:pPr>
          </w:p>
        </w:tc>
      </w:tr>
      <w:tr>
        <w:trPr>
          <w:trHeight w:val="476"/>
        </w:trPr>
        <w:tc>
          <w:tcPr>
            <w:tcW w:w="4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52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gridSpan w:val="2"/>
          </w:tcPr>
          <w:p>
            <w:pPr>
              <w:spacing w:after="0"/>
              <w:rPr>
                <w:sz w:val="2"/>
                <w:szCs w:val="2"/>
                <w:color w:val="auto"/>
              </w:rPr>
            </w:pPr>
          </w:p>
        </w:tc>
      </w:tr>
      <w:tr>
        <w:trPr>
          <w:trHeight w:val="182"/>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6"/>
              </w:rPr>
              <w:t>AVNW</w:t>
            </w: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193"/>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Preferred Share Purchase Rights</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361"/>
        </w:trPr>
        <w:tc>
          <w:tcPr>
            <w:tcW w:w="8380" w:type="dxa"/>
            <w:vAlign w:val="bottom"/>
            <w:gridSpan w:val="5"/>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380" w:type="dxa"/>
            <w:vAlign w:val="bottom"/>
          </w:tcPr>
          <w:p>
            <w:pPr>
              <w:spacing w:after="0"/>
              <w:rPr>
                <w:sz w:val="24"/>
                <w:szCs w:val="24"/>
                <w:color w:val="auto"/>
              </w:rPr>
            </w:pPr>
          </w:p>
        </w:tc>
      </w:tr>
      <w:tr>
        <w:trPr>
          <w:trHeight w:val="247"/>
        </w:trPr>
        <w:tc>
          <w:tcPr>
            <w:tcW w:w="8380" w:type="dxa"/>
            <w:vAlign w:val="bottom"/>
            <w:gridSpan w:val="5"/>
          </w:tcPr>
          <w:p>
            <w:pPr>
              <w:jc w:val="right"/>
              <w:ind w:right="745"/>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2380" w:type="dxa"/>
            <w:vAlign w:val="bottom"/>
          </w:tcPr>
          <w:p>
            <w:pPr>
              <w:spacing w:after="0"/>
              <w:rPr>
                <w:sz w:val="21"/>
                <w:szCs w:val="21"/>
                <w:color w:val="auto"/>
              </w:rPr>
            </w:pPr>
          </w:p>
        </w:tc>
      </w:tr>
      <w:tr>
        <w:trPr>
          <w:trHeight w:val="230"/>
        </w:trPr>
        <w:tc>
          <w:tcPr>
            <w:tcW w:w="8380" w:type="dxa"/>
            <w:vAlign w:val="bottom"/>
            <w:gridSpan w:val="5"/>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3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380" w:type="dxa"/>
            <w:vAlign w:val="bottom"/>
            <w:gridSpan w:val="5"/>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3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jc w:val="both"/>
        <w:ind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260" w:type="dxa"/>
        <w:tblCellMar>
          <w:top w:w="0" w:type="dxa"/>
          <w:left w:w="0" w:type="dxa"/>
          <w:bottom w:w="0" w:type="dxa"/>
          <w:right w:w="0" w:type="dxa"/>
        </w:tblCellMar>
      </w:tblP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center"/>
        <w:ind w:right="18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0" w:lineRule="exact"/>
        <w:rPr>
          <w:sz w:val="24"/>
          <w:szCs w:val="24"/>
          <w:color w:val="auto"/>
        </w:rPr>
      </w:pPr>
    </w:p>
    <w:p>
      <w:pPr>
        <w:jc w:val="center"/>
        <w:ind w:right="140"/>
        <w:spacing w:after="0" w:line="196"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1" w:lineRule="exact"/>
        <w:rPr>
          <w:sz w:val="24"/>
          <w:szCs w:val="24"/>
          <w:color w:val="auto"/>
        </w:rPr>
      </w:pPr>
    </w:p>
    <w:p>
      <w:pPr>
        <w:ind w:right="220"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24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 w:name="page2"/>
    <w:bookmarkEnd w:id="1"/>
    <w:p>
      <w:pPr>
        <w:ind w:left="340"/>
        <w:spacing w:after="0" w:line="184" w:lineRule="exact"/>
        <w:tabs>
          <w:tab w:leader="none" w:pos="838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88" w:lineRule="exact"/>
        <w:rPr>
          <w:sz w:val="20"/>
          <w:szCs w:val="20"/>
          <w:color w:val="auto"/>
        </w:rPr>
      </w:pPr>
    </w:p>
    <w:p>
      <w:pPr>
        <w:jc w:val="both"/>
        <w:ind w:right="20" w:firstLine="324"/>
        <w:spacing w:after="0" w:line="274"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December 29, 2023</w:t>
      </w:r>
      <w:r>
        <w:rPr>
          <w:rFonts w:ascii="Times New Roman" w:cs="Times New Roman" w:eastAsia="Times New Roman" w:hAnsi="Times New Roman"/>
          <w:sz w:val="16"/>
          <w:szCs w:val="16"/>
          <w:color w:val="auto"/>
        </w:rPr>
        <w:t xml:space="preserve">, the aggregate market value of the registrant’s common stock held by non-affiliates was approximately </w:t>
      </w:r>
      <w:r>
        <w:rPr>
          <w:rFonts w:ascii="Times New Roman" w:cs="Times New Roman" w:eastAsia="Times New Roman" w:hAnsi="Times New Roman"/>
          <w:sz w:val="17"/>
          <w:szCs w:val="17"/>
          <w:color w:val="auto"/>
        </w:rPr>
        <w:t>$400.9 million</w:t>
      </w:r>
      <w:r>
        <w:rPr>
          <w:rFonts w:ascii="Times New Roman" w:cs="Times New Roman" w:eastAsia="Times New Roman" w:hAnsi="Times New Roman"/>
          <w:sz w:val="16"/>
          <w:szCs w:val="16"/>
          <w:color w:val="auto"/>
        </w:rPr>
        <w:t>. For purposes of this calculation, the registrant has assumed that its directors, executive officers and holders of 10% or more of the outstanding common stock are affiliates.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October 03, 2024</w:t>
      </w:r>
      <w:r>
        <w:rPr>
          <w:rFonts w:ascii="Times New Roman" w:cs="Times New Roman" w:eastAsia="Times New Roman" w:hAnsi="Times New Roman"/>
          <w:sz w:val="16"/>
          <w:szCs w:val="16"/>
          <w:color w:val="auto"/>
        </w:rPr>
        <w:t xml:space="preserve">, there were </w:t>
      </w:r>
      <w:r>
        <w:rPr>
          <w:rFonts w:ascii="Times New Roman" w:cs="Times New Roman" w:eastAsia="Times New Roman" w:hAnsi="Times New Roman"/>
          <w:sz w:val="17"/>
          <w:szCs w:val="17"/>
          <w:color w:val="auto"/>
        </w:rPr>
        <w:t>12,676,490</w:t>
      </w:r>
      <w:r>
        <w:rPr>
          <w:rFonts w:ascii="Times New Roman" w:cs="Times New Roman" w:eastAsia="Times New Roman" w:hAnsi="Times New Roman"/>
          <w:sz w:val="16"/>
          <w:szCs w:val="16"/>
          <w:color w:val="auto"/>
        </w:rPr>
        <w:t xml:space="preserve"> shares of the registrant’s common stock outstanding.</w:t>
      </w:r>
    </w:p>
    <w:p>
      <w:pPr>
        <w:spacing w:after="0" w:line="4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6"/>
          <w:szCs w:val="16"/>
          <w:color w:val="auto"/>
        </w:rPr>
        <w:t xml:space="preserve">Portions of the registrant’s definitive Proxy Statement for its fiscal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 xml:space="preserve"> Annual Meeting of Stockholders (“Proxy Statement”), which will be filed with the U.S. Securities and Exchange Commission within 120 days after the end of the registrant’s fiscal year ended </w:t>
      </w:r>
      <w:r>
        <w:rPr>
          <w:rFonts w:ascii="Times New Roman" w:cs="Times New Roman" w:eastAsia="Times New Roman" w:hAnsi="Times New Roman"/>
          <w:sz w:val="17"/>
          <w:szCs w:val="17"/>
          <w:color w:val="auto"/>
        </w:rPr>
        <w:t>June 28, 2024</w:t>
      </w:r>
      <w:r>
        <w:rPr>
          <w:rFonts w:ascii="Times New Roman" w:cs="Times New Roman" w:eastAsia="Times New Roman" w:hAnsi="Times New Roman"/>
          <w:sz w:val="16"/>
          <w:szCs w:val="16"/>
          <w:color w:val="auto"/>
        </w:rPr>
        <w: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0" w:type="dxa"/>
            <w:vAlign w:val="bottom"/>
            <w:gridSpan w:val="11"/>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11"/>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28, 2024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810"/>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0"/>
        </w:trPr>
        <w:tc>
          <w:tcPr>
            <w:tcW w:w="7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1A.</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380" w:type="dxa"/>
            <w:vAlign w:val="bottom"/>
            <w:shd w:val="clear" w:color="auto" w:fill="CCEEFF"/>
          </w:tcPr>
          <w:p>
            <w:pPr>
              <w:spacing w:after="0"/>
              <w:rPr>
                <w:sz w:val="16"/>
                <w:szCs w:val="16"/>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1B.</w:t>
            </w:r>
          </w:p>
        </w:tc>
        <w:tc>
          <w:tcPr>
            <w:tcW w:w="520" w:type="dxa"/>
            <w:vAlign w:val="bottom"/>
            <w:gridSpan w:val="3"/>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1C.</w:t>
            </w:r>
          </w:p>
        </w:tc>
        <w:tc>
          <w:tcPr>
            <w:tcW w:w="520" w:type="dxa"/>
            <w:vAlign w:val="bottom"/>
            <w:gridSpan w:val="3"/>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80" w:type="dxa"/>
            <w:vAlign w:val="bottom"/>
            <w:shd w:val="clear" w:color="auto" w:fill="CCEEFF"/>
          </w:tcPr>
          <w:p>
            <w:pPr>
              <w:spacing w:after="0"/>
              <w:rPr>
                <w:sz w:val="16"/>
                <w:szCs w:val="16"/>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440" w:type="dxa"/>
            <w:vAlign w:val="bottom"/>
            <w:gridSpan w:val="18"/>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77"/>
              </w:rPr>
              <w:t>34</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380" w:type="dxa"/>
            <w:vAlign w:val="bottom"/>
            <w:shd w:val="clear" w:color="auto" w:fill="CCEEFF"/>
          </w:tcPr>
          <w:p>
            <w:pPr>
              <w:spacing w:after="0"/>
              <w:rPr>
                <w:sz w:val="16"/>
                <w:szCs w:val="16"/>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89"/>
        </w:trPr>
        <w:tc>
          <w:tcPr>
            <w:tcW w:w="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380" w:type="dxa"/>
            <w:vAlign w:val="bottom"/>
            <w:shd w:val="clear" w:color="auto" w:fill="CCEEFF"/>
          </w:tcPr>
          <w:p>
            <w:pPr>
              <w:spacing w:after="0"/>
              <w:rPr>
                <w:sz w:val="16"/>
                <w:szCs w:val="16"/>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77"/>
              </w:rPr>
              <w:t>36</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380" w:type="dxa"/>
            <w:vAlign w:val="bottom"/>
            <w:shd w:val="clear" w:color="auto" w:fill="CCEEFF"/>
          </w:tcPr>
          <w:p>
            <w:pPr>
              <w:spacing w:after="0"/>
              <w:rPr>
                <w:sz w:val="16"/>
                <w:szCs w:val="16"/>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7A.</w:t>
            </w: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38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3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120" w:type="dxa"/>
            <w:vAlign w:val="bottom"/>
            <w:gridSpan w:val="9"/>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77"/>
              </w:rPr>
              <w:t>47</w:t>
            </w:r>
          </w:p>
        </w:tc>
        <w:tc>
          <w:tcPr>
            <w:tcW w:w="380" w:type="dxa"/>
            <w:vAlign w:val="bottom"/>
            <w:shd w:val="clear" w:color="auto" w:fill="CCEEFF"/>
          </w:tcPr>
          <w:p>
            <w:pPr>
              <w:spacing w:after="0"/>
              <w:rPr>
                <w:sz w:val="16"/>
                <w:szCs w:val="16"/>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60" w:type="dxa"/>
            <w:vAlign w:val="bottom"/>
            <w:gridSpan w:val="3"/>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38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9A.</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860" w:type="dxa"/>
            <w:vAlign w:val="bottom"/>
            <w:tcBorders>
              <w:right w:val="single" w:sz="8" w:color="CCEEFF"/>
            </w:tcBorders>
            <w:gridSpan w:val="3"/>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91</w:t>
            </w:r>
          </w:p>
        </w:tc>
        <w:tc>
          <w:tcPr>
            <w:tcW w:w="380" w:type="dxa"/>
            <w:vAlign w:val="bottom"/>
            <w:shd w:val="clear" w:color="auto" w:fill="CCEEFF"/>
          </w:tcPr>
          <w:p>
            <w:pPr>
              <w:spacing w:after="0"/>
              <w:rPr>
                <w:sz w:val="16"/>
                <w:szCs w:val="16"/>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9B.</w:t>
            </w:r>
          </w:p>
        </w:tc>
        <w:tc>
          <w:tcPr>
            <w:tcW w:w="520" w:type="dxa"/>
            <w:vAlign w:val="bottom"/>
            <w:gridSpan w:val="3"/>
          </w:tcPr>
          <w:p>
            <w:pPr>
              <w:spacing w:after="0"/>
              <w:rPr>
                <w:sz w:val="16"/>
                <w:szCs w:val="16"/>
                <w:color w:val="auto"/>
              </w:rPr>
            </w:pPr>
          </w:p>
        </w:tc>
        <w:tc>
          <w:tcPr>
            <w:tcW w:w="17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680" w:type="dxa"/>
            <w:vAlign w:val="bottom"/>
            <w:gridSpan w:val="14"/>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77"/>
              </w:rPr>
              <w:t>95</w:t>
            </w:r>
          </w:p>
        </w:tc>
        <w:tc>
          <w:tcPr>
            <w:tcW w:w="38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9C.</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100</w:t>
            </w:r>
          </w:p>
        </w:tc>
      </w:tr>
      <w:tr>
        <w:trPr>
          <w:trHeight w:val="216"/>
        </w:trPr>
        <w:tc>
          <w:tcPr>
            <w:tcW w:w="34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89"/>
        </w:trPr>
        <w:tc>
          <w:tcPr>
            <w:tcW w:w="150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640" w:type="dxa"/>
            <w:vAlign w:val="bottom"/>
            <w:gridSpan w:val="13"/>
            <w:shd w:val="clear" w:color="auto" w:fill="CCEEFF"/>
          </w:tcPr>
          <w:p>
            <w:pPr>
              <w:spacing w:after="0"/>
              <w:rPr>
                <w:sz w:val="16"/>
                <w:szCs w:val="16"/>
                <w:color w:val="auto"/>
              </w:rPr>
            </w:pP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89"/>
        </w:trPr>
        <w:tc>
          <w:tcPr>
            <w:tcW w:w="150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102</w:t>
            </w:r>
          </w:p>
        </w:tc>
      </w:tr>
      <w:tr>
        <w:trPr>
          <w:trHeight w:val="21"/>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11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103</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11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6"/>
              </w:rPr>
              <w:t>104</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acquisition strategy;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 Networks, Inc., together with its subsidiaries, is a global supplier of microwave networking and wireless access networking solutions, backed by an extensive suite of professional services and support. Aviat Networks, Inc. may be referred to as “the Company,” “AVNW,” “Aviat Networks,” “Aviat,” “we,” “us” and “our” in this Annual Report on Form 10-K.</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Aviat was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Aviat’s principal executive offices are located at 200 Parker Dr., Suite C100A, Austin, Texas 78728, and its telephone number is (408) 941-7100.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Aviat’s common stock is listed on the NASDAQ Global Select Market under the symbol AVNW. As of June 28, 2024, the Company had 913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Description of the Business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design, manufacture and sell a range of wireless transport and access networking products, solutions and services to two principal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types.</w:t>
      </w:r>
    </w:p>
    <w:p>
      <w:pPr>
        <w:spacing w:after="0" w:line="261" w:lineRule="exact"/>
        <w:rPr>
          <w:sz w:val="20"/>
          <w:szCs w:val="20"/>
          <w:color w:val="auto"/>
        </w:rPr>
      </w:pPr>
    </w:p>
    <w:p>
      <w:pPr>
        <w:ind w:left="740" w:hanging="246"/>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15" w:lineRule="exact"/>
        <w:rPr>
          <w:rFonts w:ascii="Times New Roman" w:cs="Times New Roman" w:eastAsia="Times New Roman" w:hAnsi="Times New Roman"/>
          <w:sz w:val="18"/>
          <w:szCs w:val="18"/>
          <w:color w:val="auto"/>
        </w:rPr>
      </w:pPr>
    </w:p>
    <w:p>
      <w:pPr>
        <w:jc w:val="both"/>
        <w:ind w:left="740" w:hanging="246"/>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network operators: These are customers which do not resell communications services but build networks for reasons of economics, autonomy, and/or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sell products and services directly to our customers, and, to a lesser extent, agents and resellers.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products utilize microwave and millimeter wave technologies to create point to point and point to multi-point wireless links for short, medium and long-distance interconnections. In addition to our wireless products, we also provide routers and a range of premise and hosted private cloud-based software tools and applications to enable deployment, monitoring, network management, and optimization and operational assurance of our systems as well as to automate network design and procurement. We also source, qualify, supply, integrate, test and support third party equipment such as antennas,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wireless systems deliver urban, suburban, regional and country-wide communications links as the primary alternative to fiber optic, low earth orbit satellite and copper connections. Fiber optic connections are the primary connectivity alternative to wireless systems. In dense urban and suburban areas, wireless solutions can be faster to deploy and lower cost per mile than new fiber deployments. In developing nations, fiber infrastructure is often scarce and as a result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 such as high frequency trading.</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our North America and international regions represented approximately 50% and 50% of our revenue in fiscal 2024, 58% and 42% of our revenue in fiscal 2023, and 66% and 34% of our revenue in fiscal 2022, respectively. Information about our revenue attributable to our geographic regions is set forth in “Item 7. Management’s Discussion and Analysis of Financial Condition and Results of Operations” and in “Note 10. Segment and Geographic Information” of the accompanying consolidated financial statements and notes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that future demand for microwave and millimeter wave transmission systems will be influenced by a number of factors across several market segments.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Mobile/5G Networks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mobile networks evolve and expand, add subscribers, and increase the number of wirelessly connected devices, sensors and machines, investment in backhaul infrastructure is required. Whether mobile network operators choose to self-build this backhaul infrastructure, or lease backhaul services from other network providers, we expect that the evolution of mobile networks will continue to drive demand for microwave and millimeter wave wireless backhaul transmission technologies. Within this overall scope, there are multiple individual drivers for investment in backhaul infrastructure.</w:t>
      </w:r>
    </w:p>
    <w:p>
      <w:pPr>
        <w:spacing w:after="0" w:line="16" w:lineRule="exact"/>
        <w:rPr>
          <w:sz w:val="20"/>
          <w:szCs w:val="20"/>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5G Deployments</w:t>
      </w:r>
      <w:r>
        <w:rPr>
          <w:rFonts w:ascii="Times New Roman" w:cs="Times New Roman" w:eastAsia="Times New Roman" w:hAnsi="Times New Roman"/>
          <w:sz w:val="18"/>
          <w:szCs w:val="18"/>
          <w:color w:val="auto"/>
        </w:rPr>
        <w:t>. Mobile Radio Access Network (“RAN”) technologies are evolving. With the evolution from 4G (HSPA+ and LTE) to 5G,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is rapidly advancing and providing subscribers with higher speed access to the Internet, social media, and video streaming services. The dramatic increase in data to be transported through the RAN and across the backhaul infrastructure drives requirements for higher data transport links necessitating upgrades to or replacement of the existing backhaul infrastructure.</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Subscriber Growth. </w:t>
      </w:r>
      <w:r>
        <w:rPr>
          <w:rFonts w:ascii="Times New Roman" w:cs="Times New Roman" w:eastAsia="Times New Roman" w:hAnsi="Times New Roman"/>
          <w:sz w:val="18"/>
          <w:szCs w:val="18"/>
          <w:color w:val="auto"/>
        </w:rPr>
        <w:t>Traffic on the backhaul infrastructure increases as the number of unique subscribers grows.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Connected Devices. </w:t>
      </w:r>
      <w:r>
        <w:rPr>
          <w:rFonts w:ascii="Times New Roman" w:cs="Times New Roman" w:eastAsia="Times New Roman" w:hAnsi="Times New Roman"/>
          <w:sz w:val="18"/>
          <w:szCs w:val="18"/>
          <w:color w:val="auto"/>
        </w:rPr>
        <w:t>The number of devices such as smart phones and tablets connected to the mobile network is far greater than the number of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IoT</w:t>
      </w:r>
      <w:r>
        <w:rPr>
          <w:rFonts w:ascii="Times New Roman" w:cs="Times New Roman" w:eastAsia="Times New Roman" w:hAnsi="Times New Roman"/>
          <w:sz w:val="18"/>
          <w:szCs w:val="18"/>
          <w:color w:val="auto"/>
        </w:rPr>
        <w:t>. The Internet of Things (“IoT”) brings the potential of massive deployment of wireless end points for sensing and reporting data and remotely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machines and devices. The increase of data volume drives investment in network infrastructure.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Network Densification</w:t>
      </w:r>
      <w:r>
        <w:rPr>
          <w:rFonts w:ascii="Times New Roman" w:cs="Times New Roman" w:eastAsia="Times New Roman" w:hAnsi="Times New Roman"/>
          <w:sz w:val="18"/>
          <w:szCs w:val="18"/>
          <w:color w:val="auto"/>
        </w:rPr>
        <w:t>. RAN frequency spectrum is a limited resource and shared between all of the devices and users within the coverage area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17"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Geographic Coverage. </w:t>
      </w:r>
      <w:r>
        <w:rPr>
          <w:rFonts w:ascii="Times New Roman" w:cs="Times New Roman" w:eastAsia="Times New Roman" w:hAnsi="Times New Roman"/>
          <w:sz w:val="18"/>
          <w:szCs w:val="18"/>
          <w:color w:val="auto"/>
        </w:rPr>
        <w:t>Expanding the geographic area covered by a mobile network requires the deployment of additional cellular base station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additional base station site also needs to be connected to the core of the mobile network through expansion of the backhaul system.</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Mandates</w:t>
      </w:r>
      <w:r>
        <w:rPr>
          <w:rFonts w:ascii="Times New Roman" w:cs="Times New Roman" w:eastAsia="Times New Roman" w:hAnsi="Times New Roman"/>
          <w:sz w:val="18"/>
          <w:szCs w:val="18"/>
          <w:color w:val="auto"/>
        </w:rPr>
        <w:t>. Mobile Operators are licensed telecommunications service providers. Licenses will typically mandate a minimum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Rural Broadband</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Middle Mile</w:t>
      </w:r>
      <w:r>
        <w:rPr>
          <w:rFonts w:ascii="Times New Roman" w:cs="Times New Roman" w:eastAsia="Times New Roman" w:hAnsi="Times New Roman"/>
          <w:sz w:val="18"/>
          <w:szCs w:val="18"/>
          <w:color w:val="auto"/>
        </w:rPr>
        <w:t>. Aviat transport equipment is used to deliver broadband connectivity to rural and suburban communities as an alternative to costly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significant investments being made to improve rural household and enterprise connectivity and many of these investments target middle mile infrastructure builds.</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Offered Services. </w:t>
      </w:r>
      <w:r>
        <w:rPr>
          <w:rFonts w:ascii="Times New Roman" w:cs="Times New Roman" w:eastAsia="Times New Roman" w:hAnsi="Times New Roman"/>
          <w:sz w:val="18"/>
          <w:szCs w:val="18"/>
          <w:color w:val="auto"/>
        </w:rPr>
        <w:t>Internet service providers, especially those in emerging markets, now own and operate the most modern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2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Networks</w:t>
      </w:r>
    </w:p>
    <w:p>
      <w:pPr>
        <w:spacing w:after="0" w:line="175"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In addition to mobile backhaul, we see demand for microwave technology in other vertical markets, including utility, public safety, energy and mining, government, financial institutions and broadcast.</w:t>
      </w:r>
    </w:p>
    <w:p>
      <w:pPr>
        <w:spacing w:after="0" w:line="1" w:lineRule="exact"/>
        <w:rPr>
          <w:sz w:val="20"/>
          <w:szCs w:val="20"/>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left="340" w:hanging="332"/>
        <w:spacing w:after="0" w:line="25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network infrastructure. Microwave is well suited to this environment because it is a cost-effective alternative to fiber.</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Evolution to IP (internet protocol). Network Infrastructure capacity, efficiency and flexibility is greatly enhanced by transitioning from legacy SDH (synchronous digital hierarchy) / SONET (synchronous optical network) / TDM (time division multiplexing) to IP infrastructure. Our products offer integrated IP transport and routing functionality increasing the value they bring in the backhaul network.</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enhancement of border security and surveillance networks to counter terrorism and insurgency is aided by the use of wireless technologies including microwave backhaul.</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remote and industrial access applications to support the evolution of smart networks for cities, oilfields, mines and remote rural broadband connectivity using fixed, nomadic and mobile wireless technologies, particularly where a high degree of environmental resilience and ruggedness is required.</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factors are combining to create a range of opportunities for continued investment in backhaul, transport and access networks that favor microwave and millimeter wave technologies. As we focus on executing future generations of our technology, our goal is to make wireless technology a viable choice for an ever-broadening range of network types.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engaging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strategy has three main elements aligned to deliver a compelling Total Cost of Ownership (“TCO”) value proposition. The first is our portfolio of wireless transport products allowing our customers increased capacity and flexibility with a much better total cost solution. We are expanding the data-carrying capacity of our wireless products to address the increasing data demand in networks of all types, while reducing overall energy consumption. Our research and development is focused on innovations that increase capacity, reduce energy consumption and lower overall TCO.</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Second, to address the operational complexity of planning, deploying, owning and operating microwave networks, we are investing in a combination of software applications, tools and services where simplification, process automation, optimization and performance assurance, combined with our unique expertise in wireless technology can make a significant difference for our customers and partners.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Finally, Aviat is investing in e-commerce through our online platform, the “Aviat Store” and supporting supply chain capabilities. Aviat can better service customers buying through the Aviat Store with lower costs, faster lead times and a simpler purchasing experience. The Aviat Store, together with our supply chain, enables customers (including ISP, Tier 2 and mobile 5G operators) to purchase products as needed, thus avoiding lengthy and variable lead times that come with other vendor solutions and allowing those customers to lower warehousing costs, reduce obsolete equipment, and lower the cost of capital by paying only when equipment is needed.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serve and expand upon our existing customer base and develop business with new customers. We intend to leverage our customer base, longstanding presence in many countries, distribution channels, comprehensive product line, superior customer service and our turnkey solution capability to continue to sell existing and new products and services to current and future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and solutions portfolio is key to building and maintaining our base of customers. We offer a comprehensive product and solutions portfolio that meets the needs of service providers and network operators and that addresses a broad range of applications, frequencies, capacities and network topologies.</w:t>
      </w:r>
    </w:p>
    <w:p>
      <w:pPr>
        <w:spacing w:after="0" w:line="12" w:lineRule="exact"/>
        <w:rPr>
          <w:sz w:val="20"/>
          <w:szCs w:val="20"/>
          <w:color w:val="auto"/>
        </w:rPr>
      </w:pPr>
    </w:p>
    <w:p>
      <w:pPr>
        <w:jc w:val="both"/>
        <w:ind w:left="340" w:hanging="332"/>
        <w:spacing w:after="0" w:line="25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product and solution portfolio</w:t>
      </w:r>
      <w:r>
        <w:rPr>
          <w:rFonts w:ascii="Times New Roman" w:cs="Times New Roman" w:eastAsia="Times New Roman" w:hAnsi="Times New Roman"/>
          <w:sz w:val="18"/>
          <w:szCs w:val="18"/>
          <w:color w:val="auto"/>
        </w:rPr>
        <w:t>. We offer a comprehensive suite of wireless transport and access systems for microwave and millimeter wave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networking applications. These solutions utilize a wide range of transmission frequencies, ranging from 450 MHz to 90 GHz, and can deliver a wide range of transmission capacities, ranging up to 20 Gigabits per second (Gbps). The major product families included in these solutions are CTR 8000, WTM 4000, RDL 3000, RDL 6000, IRU 600, Pasolink, ProVision Plus and AviatCloud. Our CTR 8000 platform is a range of routers purpose-built for transport applications, especially those that require high level of reliability and security. WTM 4000, the highest capacity microwave radio ever produced to date, and purpose built for software-defined networks (“SDN”). SDN technology is an approach to networking management that enables dynamic, programmatically efficient networking configuration to improve networking performance and monitoring, making it more like cloud computing than traditional networking management. We introduced multiple important variants to the WTM 4000 platform; WTM4100 &amp; 4200 providing single and dual frequency microwave links with advanced XPIC and MIMO capabilities; STR4500 for multi-channel aggregation of microwave channels in long distance applications; WTM4800 is the latest addition to address 5G network requirements and is capable of operating in the 80GHz E-Band at up to 20 Gbps capacity, with a unique single-box Multi-Band capability which simultaneously uses microwave and E-Band frequencies for maximum capacity, distance and reliability. WTM 4800 is the only single box multi-band solution for lowest total cost of ownership deployments. Aviat has now introduced a new 2-box extended distance Multi-Band (MB-XD) to extend 10 Gbps links over distances up to 20km, and Multi-Band Vendor Agnostic (MB-VA) that enables a seamless 10 Gbps E-Band overlay to existing legacy microwave links. Our RDL 3000 platform is designed to support ruggedized fixed and nomadic wireless access in remote and industrial applications. RDL 6000 is a highly differentiated Private-LTE solution that provides the equivalent coverage of a macro-base station, but in a compact and cost-effective all-outdoor design. Our IRU 600 EHP/UHP is an ultra-high power indoor microwave radio that enables relocation of mission critical links from the 6 GHz band to the 11 GHz band to minimize potential interference and deliver longer links with more capacity, while also minimizing tower related costs. Aviat Pasolink is a market-leading range of split-mount and all-outdoor microwave and millimeter-wave solutions with an extensive global installed base. Aviat’s ProVision Plus Management Software Suite enables operators to manage and control their network, optimize performance and lower operating expenses To address the issues of operational complexity in our customers’ networks, AviatCloud is a platform with secure hosted software and services to automate networks and their operations.</w:t>
      </w:r>
    </w:p>
    <w:p>
      <w:pPr>
        <w:spacing w:after="0" w:line="2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 total cost of ownership. </w:t>
      </w:r>
      <w:r>
        <w:rPr>
          <w:rFonts w:ascii="Times New Roman" w:cs="Times New Roman" w:eastAsia="Times New Roman" w:hAnsi="Times New Roman"/>
          <w:sz w:val="18"/>
          <w:szCs w:val="18"/>
          <w:color w:val="auto"/>
        </w:rPr>
        <w:t>Our wireless-based solutions focus on achieving a low total cost of ownership, including savings on the combined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such as Multi-Band, high modulation and ultra-high power performance also enable operators to save on related costs, including spectrum fees and tower rental fees.</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Futureproof network</w:t>
      </w:r>
      <w:r>
        <w:rPr>
          <w:rFonts w:ascii="Times New Roman" w:cs="Times New Roman" w:eastAsia="Times New Roman" w:hAnsi="Times New Roman"/>
          <w:sz w:val="18"/>
          <w:szCs w:val="18"/>
          <w:color w:val="auto"/>
        </w:rPr>
        <w:t>. Our solutions are designed to protect the network operator’s investment by incorporating software-configurable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upgrades and plug-in modules that provide a smooth migration path to Carrier Ethernet and IP/MPLS (multiprotocol label switching) and segment routing based networking, without the need for costly equipment substitutions and additions. Our products include key technologies we believe will be needed by operators for their network evolution to support new broadband services.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easily configurable products. </w:t>
      </w:r>
      <w:r>
        <w:rPr>
          <w:rFonts w:ascii="Times New Roman" w:cs="Times New Roman" w:eastAsia="Times New Roman" w:hAnsi="Times New Roman"/>
          <w:sz w:val="18"/>
          <w:szCs w:val="18"/>
          <w:color w:val="auto"/>
        </w:rPr>
        <w:t>We use flexible architectures with a high level of software configurable features. This design approach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network management. </w:t>
      </w:r>
      <w:r>
        <w:rPr>
          <w:rFonts w:ascii="Times New Roman" w:cs="Times New Roman" w:eastAsia="Times New Roman" w:hAnsi="Times New Roman"/>
          <w:sz w:val="18"/>
          <w:szCs w:val="18"/>
          <w:color w:val="auto"/>
        </w:rPr>
        <w:t>We offer a range of flexible network management solutions, from element management to enterprise-wide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and service management software, which together with our Frequency and Health Assurance expert software modules enable operators to improve network performance and lower costs.</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 professional services. </w:t>
      </w:r>
      <w:r>
        <w:rPr>
          <w:rFonts w:ascii="Times New Roman" w:cs="Times New Roman" w:eastAsia="Times New Roman" w:hAnsi="Times New Roman"/>
          <w:sz w:val="18"/>
          <w:szCs w:val="18"/>
          <w:color w:val="auto"/>
        </w:rPr>
        <w:t>In addition to our product offerings, we provide network planning and design, site surveys and builds,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71" w:lineRule="exact"/>
        <w:rPr>
          <w:sz w:val="20"/>
          <w:szCs w:val="20"/>
          <w:color w:val="auto"/>
        </w:rPr>
      </w:pPr>
    </w:p>
    <w:p>
      <w:pPr>
        <w:jc w:val="right"/>
        <w:ind w:right="966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1" w:lineRule="exact"/>
        <w:rPr>
          <w:sz w:val="20"/>
          <w:szCs w:val="20"/>
          <w:color w:val="auto"/>
        </w:rPr>
      </w:pPr>
    </w:p>
    <w:p>
      <w:pPr>
        <w:jc w:val="right"/>
        <w:ind w:right="9600"/>
        <w:spacing w:after="0"/>
        <w:rPr>
          <w:sz w:val="20"/>
          <w:szCs w:val="20"/>
          <w:color w:val="auto"/>
        </w:rPr>
      </w:pPr>
      <w:r>
        <w:rPr>
          <w:rFonts w:ascii="Times New Roman" w:cs="Times New Roman" w:eastAsia="Times New Roman" w:hAnsi="Times New Roman"/>
          <w:sz w:val="18"/>
          <w:szCs w:val="18"/>
          <w:b w:val="1"/>
          <w:bCs w:val="1"/>
          <w:i w:val="1"/>
          <w:iCs w:val="1"/>
          <w:color w:val="auto"/>
        </w:rPr>
        <w:t>Sales and Service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Indonesia, Australia, New Zealand, and Singapore.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direct channel to market, we have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26"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direct online sales option through our online “Aviat Store”. The Aviat Store targets customers with a traditional high cost to serve via traditional channels. We provide online design tools for radio link planning and online ordering tools, which we fulfill directly from our Aviat Store with multiple options of product available for next day shipment.</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repair and service centers in the Philippines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Asia and the United States. Our strategy is based on balancing cost and supplier performance as well as taking into account qualification for localization requirements of certain market segments, such as the Buy American Act.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backlog was approximately $292 million at June 28, 2024 and $289 million at June 30, 2023,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 adjustments for revenue not materialized and adjustments for currency.</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to substantially deliver against the backlog as of June 28, 2024 during fiscal 2025, but we cannot be assured that this will occur. Product orders in our current backlog are subject to changes in delivery schedules or to cancellation at the option of the purchaser without significant penalty as well as long-term projects that could take more than a year to complete.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we have a large customer base, during any given fiscal year or quarter, a small number of customers may account for a significant portion of our revenue.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2024 and 2023, no customers accounted for more than 10% of total revenue. During fiscal 2022 one customer accounted for approximately 13% of total revenue.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microwave and millimeter-wave wireless networking business is a competitive and specialized segment of the telecommunications industry that is sensitive to technological advancements. Our principal competitors include business units of large mobile and IP network infrastructure manufacturers such as Ericsson, Huawei and Nokia Corporation, as well as a number of smaller microwave specialist companies such as Ceragon Networks Ltd., Cambium Networks Corporation and Airspan Networks. We also compete with fiber optic cable and low earth orbit satellites for networking connections.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our larger competitors may also act as systems integrators through which we sometimes distribute and sell products and services to 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w:t>
      </w:r>
    </w:p>
    <w:p>
      <w:pPr>
        <w:spacing w:after="0" w:line="1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concentrate on market opportunities that we believe are compatible with our resources, overall technological capabilities and objectives. Principal competitive factors are unique differentiators, TCO,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expenditures totaled $36.4 million, or 8.9% of revenue, in fiscal 2024, $24.9 million, or 7.2% of revenue, in fiscal 2023, and $22.6 million, or 7.5% of revenue, in fiscal 2022.</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122" w:lineRule="exact"/>
        <w:rPr>
          <w:sz w:val="20"/>
          <w:szCs w:val="20"/>
          <w:color w:val="auto"/>
        </w:rPr>
      </w:pPr>
    </w:p>
    <w:p>
      <w:pPr>
        <w:ind w:left="340" w:right="460" w:firstLine="162"/>
        <w:spacing w:after="0" w:line="438" w:lineRule="auto"/>
        <w:rPr>
          <w:sz w:val="20"/>
          <w:szCs w:val="20"/>
          <w:color w:val="auto"/>
        </w:rPr>
      </w:pPr>
      <w:r>
        <w:rPr>
          <w:rFonts w:ascii="Times New Roman" w:cs="Times New Roman" w:eastAsia="Times New Roman" w:hAnsi="Times New Roman"/>
          <w:sz w:val="18"/>
          <w:szCs w:val="18"/>
          <w:color w:val="auto"/>
        </w:rPr>
        <w:t xml:space="preserve">Our product development teams totaled 196 employees as of June 28, 2024, and were located primarily in New Zealand, Slovenia and Canada. </w:t>
      </w:r>
      <w:r>
        <w:rPr>
          <w:rFonts w:ascii="Times New Roman" w:cs="Times New Roman" w:eastAsia="Times New Roman" w:hAnsi="Times New Roman"/>
          <w:sz w:val="18"/>
          <w:szCs w:val="18"/>
          <w:b w:val="1"/>
          <w:bCs w:val="1"/>
          <w:i w:val="1"/>
          <w:iCs w:val="1"/>
          <w:color w:val="auto"/>
        </w:rPr>
        <w:t>Raw Materials and Supplies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Because of our range of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strategy for procuring raw material and supplies includes dual sourcing (where possible)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ASIC’s and MMICs (types of integrated circuit used in manufacturing microwave radios), which we procure at volume discount from a single source.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Other Intellectual Property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consider our patents, trademarks and other intellectual property rights, in the aggregate, to constitute an important asset. We own a portfolio of patents, trade secrets, know-how, confidential information, trademarks, copyrights and other intellectual property. As of June 28, 2024, we (collectively with our subsidiaries) own approximately 179 U.S. patents and 182 international patents and had 8 U.S. patent applications pending and 12 international patent applications pending. The United States Patent and Trademark Office (“USPTO”) and international equivalent bodies have not yet concluded substantive examination of our pending patent applications. Therefore, it is unclear what scope of additional patent coverage, if any, will eventually be provided as a result of those pending applications. Failure to obtain comprehensive patent coverage could impair our ability to prevent competitors from replicating some portions or all of our products. We also license intellectual property to and from third parties. The costs we pay or revenue we receive from such licenses may be dependent on certain factors, such as the market for such licenses and whether such licenses can be negotiated on commercially acceptable terms. However, we do not consider our business to be materially dependent upon any single patent, license or other intellectual property right.</w:t>
      </w:r>
    </w:p>
    <w:p>
      <w:pPr>
        <w:spacing w:after="0" w:line="1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spacing w:after="0" w:line="13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Additionally, competitors may try to develop products that are similar to ours and that may infringe, misappropriate or otherwise violate our intellectual property rights. As a result, from time to time, we might engage in litigation to enforce our patents or other intellectual property rights or defend against claims of alleged infringement asserted by third parties. Any of our patents, trade secrets, trademarks, copyrights and other intellectual property rights could be challenged, invalidated or circumvented, or may not provide competitive advantages. Despite our efforts to protect our intellectual property rights, we cannot be certain that the steps we have taken will be sufficient or effective to prevent the unauthorized access, use, copying, or the reverse engineering of our technology and other intellectual property, including by third parties who may use our technology or other proprietary information to develop products and services that compete with ours. Additionally, policing unauthorized use of our intellectual property and proprietary rights can be difficult, costly and time consuming.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Furthermore, our competitors or other third parties may assert that our products infringe, misappropriate or otherwise violate their intellectual property rights. Successful claims of infringement, misappropriation or other violations by a third party could prevent us from offering certain products or features, require us to develop alternate, non-infringing technology, which could require significant time and expense, and at which time we could be unable to continue to offer our affected products or solutions, or require us to obtain a license, which may not be available on reasonable terms or at all, or force us to pay substantial damages, royalties or other fees.</w:t>
      </w:r>
    </w:p>
    <w:p>
      <w:pPr>
        <w:spacing w:after="0" w:line="14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protect our confidential information, including our trade secrets, we require our employees and contractors to sign confidentiality and invention assignment agreements. We also enter into non-disclosure agreements with our suppliers and appropriate customers to limit their access to and disclosure of our proprietary information.</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our ability to compete may be affected by our ability to protect our intellectual property rights and proprietary information, we believe that, because of the rapid pace of technological change in the wireless telecommunications industry, our innovative skills, technical expertise and ability to introduce new products on a timely basis is just as important in maintaining our competitive position as protecting our intellectual property. Trade secret, trademark, copyright and patent protections are important but must be supported by other factors such as the expanding knowledge, ability and experience of our personnel, new product introductions and product enhancements. Although we have and will continue to implement protective measures and intend to vigorously defend our intellectual property rights, there can be no assurance that these measures will be successful.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facilities and operations, in common with those of our industry in general, are subject to numerous domestic and international laws and regulations designed to protect the environment, increase transparency or modify corporate behavior, particularly with regard to wastes and emissions. We believe that we have substantially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especially as such laws are evolving quickly and obligations on companies like ours may become more burdensome over time. From time to time, we receive notices from the U.S. Environmental Protection Agency or equivalent state or international environmental agencies that we are a potentially responsible party under the Comprehensive Environmental Response, Compensation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substantially complied with such rules and regulations, where applicable, with respect to our existing products sold into such jurisdictions.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Radio communications are also subject to various governmental regulation. Equipment produced by us is subject to domestic and international requirements to avoid interference among users of radio frequencies and to permit interconnection of telecommunications equipment. We believe that we have substantially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 comprehensive policy and procedures in effect concerning conflict minerals compliance.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June 28, 2024, we had 913 employees, of whom 909 were full-time employees and 279 were located in the U.S. None of our employees in the U.S. are represented by a labor union. In certain international subsidiaries, our employees are represented by workers’ councils or statutory labor unions. In general, we believe that our employee relations are good. In the highly competitive technology market, we have been able to attract and retain diverse, well-qualified talent across our functions. Through our structured hiring process, we work to provide training for hiring managers in the selection process, detailed onboarding plans for new hires and surveys at regular intervals during the first months of employment to help measure engagement and support success. From time to time, we conduct surveys of our existing employee population and to help identify action items at the functional level as well as establishing company-wide initiatives to continually improve our culture and processes.</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we offer a competitive compensation package, tailored to the job function and location of each employee and linked to internal and external benchmarking. We have a global team, and we offer competitive compensation and benefits programs that meet the needs of our employees, while also reflecting local market practices. Our U.S. benefits plan includes health benefits, life and disability insurance, various voluntary insurances, flexible time off and leave programs, and a retirement plan with employer match. Our international benefits plans are competitive locally and generally provide similar benefits. We grant equity-based compensation to many of our employees. In addition, we offer benefits to support our employees’ physical and mental health by providing tools and resources to help them improve or maintain their health and encourage healthy behaviors.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executive officers of Aviat as of October 4, 2024,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238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 Currently Held and Past Business Experience</w:t>
            </w: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Peter A. Smith, 58</w:t>
            </w:r>
          </w:p>
        </w:tc>
        <w:tc>
          <w:tcPr>
            <w:tcW w:w="852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Mr. Smith was appointed President and Chief Executive Officer in January 2020. Prior to joining Aviat</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w w:val="99"/>
              </w:rPr>
              <w:t>Networks, Mr. Smith served as Senior Vice President, US Windows and Canada for Jeld-Wen from March 2017</w:t>
            </w:r>
          </w:p>
        </w:tc>
      </w:t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5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to December 2019. Prior to Jeld-Wen, he served as President of Polypore International’s Transportation and</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Industrial segment from October 2013 to March 2017. Previously, he served as Chief Executive Officer and a</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director of Voltaix Inc. from September 2011 to October 2013. Earlier in his career, Mr. Smith held various</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executive leadership positions at Fortune 100 and Fortune 500 companies, including Cooper Industries, Dover</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Knowles Electronics and Honeywell Specialty Materials. Mr. Smith also served on the board of Soleras</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Advanced Coatings from August 2015 to October 2018 and Adaptive 3D Technologies from December 2020</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through its sale in May 2021. Mr. Smith has both a Bachelor of Science degree in Material (Ceramics)</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Engineering and PhD in Material Science and Engineering from Rutgers University, and holds a Master of</w:t>
            </w: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Business Administration degree from Arizona State University.</w:t>
            </w:r>
          </w:p>
        </w:tc>
      </w:tr>
      <w:tr>
        <w:trPr>
          <w:trHeight w:val="176"/>
        </w:trPr>
        <w:tc>
          <w:tcPr>
            <w:tcW w:w="2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Michael C. Connaway, 44</w:t>
            </w: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As Chief Financial Officer (CFO), Mr. Connaway is responsible for worldwide finance, treasury, accounting,</w:t>
            </w:r>
          </w:p>
        </w:tc>
      </w:tr>
      <w:tr>
        <w:trPr>
          <w:trHeight w:val="175"/>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reporting, compliance and taxation. Prior to joining Aviat, Mr. Connaway was Vice President and Chief</w:t>
            </w:r>
          </w:p>
        </w:tc>
      </w:tr>
      <w:tr>
        <w:trPr>
          <w:trHeight w:val="18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52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Financial Officer of Honeywell’s Energy &amp; Sustainability Solutions segment, and before that served in CFO</w:t>
            </w:r>
          </w:p>
        </w:tc>
      </w:tr>
      <w:tr>
        <w:trPr>
          <w:trHeight w:val="180"/>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capacities leading finance in its Safety &amp; Productivity Solutions segment, and Advanced Materials business.</w:t>
            </w:r>
          </w:p>
        </w:tc>
      </w:tr>
      <w:tr>
        <w:trPr>
          <w:trHeight w:val="175"/>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Mr. Connaway started his career with General Electric, beginning in its financial management program and</w:t>
            </w:r>
          </w:p>
        </w:tc>
      </w:tr>
      <w:tr>
        <w:trPr>
          <w:trHeight w:val="18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52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corporate audit group, before progressing to executive finance leadership positions within its Healthcare</w:t>
            </w:r>
          </w:p>
        </w:tc>
      </w:tr>
      <w:tr>
        <w:trPr>
          <w:trHeight w:val="180"/>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business. Before Honeywell, Mr. Connaway served as Chief Financial Officer of ABB’s Industrial Solutions</w:t>
            </w:r>
          </w:p>
        </w:tc>
      </w:tr>
      <w:tr>
        <w:trPr>
          <w:trHeight w:val="175"/>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business, after it was acquired from GE Energy Connections. Mr. Connaway was instrumental in integrating</w:t>
            </w:r>
          </w:p>
        </w:tc>
      </w:tr>
      <w:tr>
        <w:trPr>
          <w:trHeight w:val="18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52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Industrial Solutions into ABB’s Electrification segment, driving post transaction synergies, fostering a culture</w:t>
            </w:r>
          </w:p>
        </w:tc>
      </w:tr>
      <w:tr>
        <w:trPr>
          <w:trHeight w:val="180"/>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of performance excellence, and instilling greater financial and operational rigor across all business processes.</w:t>
            </w:r>
          </w:p>
        </w:tc>
      </w:tr>
      <w:tr>
        <w:trPr>
          <w:trHeight w:val="239"/>
        </w:trPr>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Mr. Connaway holds a Bachelor of Science degree in Finance from Boston College.</w:t>
            </w:r>
          </w:p>
        </w:tc>
      </w:tr>
      <w:tr>
        <w:trPr>
          <w:trHeight w:val="202"/>
        </w:trPr>
        <w:tc>
          <w:tcPr>
            <w:tcW w:w="23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Erin R. Boase, 45</w:t>
            </w: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As General Counsel, Ms. Boase is responsible for all aspects of the Legal function. Ms. Boase brings a depth of</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experience to the team in privacy, employment, compliance, real estate, M&amp;A, as well as, copyright, trademark</w:t>
            </w:r>
          </w:p>
        </w:tc>
      </w:t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5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and other product, software, service and cloud-related legal matters. Ms. Boase was previously at Lifesize, Inc.</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where she served as Head of Legal and Corporate Secretary. Prior to that she was the Senior Corporate Counsel</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at Cisco (formerly Duo Security, Inc.) where she managed the adoption of GDPR privacy compliance,</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development of company policies, copyright and trademark, technical compliance as well as other legal</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matters. Earlier in her career she held legal positions of progressive responsibility with Dell’s Computer and</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Security business and Thomson Reuters. Ms. Boase holds a Juris Doctorate, Technology and Communications</w:t>
            </w: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and graduated Cum Laude from Thomas Jefferson School of Law and a Bachelor of Arts from Midwestern</w:t>
            </w: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 University.</w:t>
            </w:r>
          </w:p>
        </w:tc>
      </w:tr>
      <w:tr>
        <w:trPr>
          <w:trHeight w:val="176"/>
        </w:trPr>
        <w:tc>
          <w:tcPr>
            <w:tcW w:w="2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Gary G. Croke, 52</w:t>
            </w: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w w:val="99"/>
              </w:rPr>
              <w:t>As Vice President of Marketing, Mr. Croke is responsible for Aviat’s global marketing which includes corporate</w:t>
            </w:r>
          </w:p>
        </w:tc>
      </w:tr>
      <w:tr>
        <w:trPr>
          <w:trHeight w:val="175"/>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and strategic marketing functions and product line management. Mr. Croke charts Aviat’s global product and</w:t>
            </w:r>
          </w:p>
        </w:tc>
      </w:tr>
      <w:tr>
        <w:trPr>
          <w:trHeight w:val="18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52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marketing strategy and ensures successful company-wide implementation. His team's primary focus is on</w:t>
            </w:r>
          </w:p>
        </w:tc>
      </w:tr>
      <w:tr>
        <w:trPr>
          <w:trHeight w:val="180"/>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achieving business growth through the definition and launch of new solutions that drive customer economic</w:t>
            </w:r>
          </w:p>
        </w:tc>
      </w:tr>
      <w:tr>
        <w:trPr>
          <w:trHeight w:val="175"/>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value. Mr. Croke has over 25 years of leadership experience in the data and mobile communications sectors and</w:t>
            </w:r>
          </w:p>
        </w:tc>
      </w:tr>
      <w:tr>
        <w:trPr>
          <w:trHeight w:val="18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52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he is highly skilled at delivering creative and compelling value propositions with demand generation programs</w:t>
            </w:r>
          </w:p>
        </w:tc>
      </w:tr>
      <w:tr>
        <w:trPr>
          <w:trHeight w:val="180"/>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that produce business results. Mr. Croke has a bachelor’s degree in electrical engineering from Memorial</w:t>
            </w:r>
          </w:p>
        </w:tc>
      </w:tr>
      <w:tr>
        <w:trPr>
          <w:trHeight w:val="176"/>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University of Newfoundland and has pursued postgraduate studies/research in business administration at the</w:t>
            </w:r>
          </w:p>
        </w:tc>
      </w:tr>
      <w:tr>
        <w:trPr>
          <w:trHeight w:val="234"/>
        </w:trPr>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University of Ottawa.</w:t>
            </w:r>
          </w:p>
        </w:tc>
      </w:tr>
    </w:tbl>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Aviat Networks’ Reports; Available Information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a website at www.aviatnetworks.com. Our annual reports on Form 10-K, quarterly reports on Form 10-Q, current reports on Form 8-K and amendments to such reports are available free of charge on our website as soon as reasonably practicable after such material is electronically filed with, or furnished to, the Securities and Exchange Commission (“SEC”). In addition to our reports filed or furnished with the SEC, we publicly disclose material information in press releases, at annual meetings of shareholders, in publicly accessible conferences and investor presentations, and through our website. References to our website in this Form 10-K are provided as a convenience and should not be deemed an incorporation by reference or a part of this Form 10-K.</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 investors are strongly urged to carefully consider the various cautionary statements and risks set forth in this Annual Report on Form 10-K and in our other public filings.</w:t>
      </w:r>
    </w:p>
    <w:p>
      <w:pPr>
        <w:spacing w:after="0" w:line="1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face many business risks, including those related to our financial performance, investments in our common stock, operating our business and legal matters. If any of these risks occur, our financial condition and results of operations could be materially and adversely affected. In that case, the market price of the Company’s common stock could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67"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more volatile and difficult to predict and can complicate the proper recognition of revenue on more complex sales transactions.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new products introduced to the marketplace in a timely manner, successfully completing product transitioning and achieving customer acceptance.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evaluate the optimal mix and location of our manufacturing assets and our third-party contract manufacturer assets, and any movement or re-allocation of these manufacturing assets may not be successful, could disrupt our operations, cause us to incur increased costs, and adversely affect our business and our operating results.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respond to rapid technological change and comply with evolving industry standards and requirements for our products to be successful.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sales prices may decline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commercial risks and exposures could increase if the financial condition of our customers declines.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actions could harm our relationships with our employees and impact our ability to recruit new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attract and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strong competition for maintaining and improving our position in the market, which can adversely affect our revenue growth and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problems, including undetected errors in our hardware or software, or deployment delays could harm our business and reputation.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forecast our manufacturing requirements or customer demand, we could incur additional costs, which would adversely affect our business and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sole or limited sources and geographies for some key components and failure to receive timely delivery of any of these components could result in deferred or lost sales.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amount of our revenue may come from a limited number of customers, the termination of any of these customer relationships may adversely affect our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evaluate strategic transaction opportunities which could involve merger, divestiture, sale and/or acquisition activities that could disrupt our operations and harm our operating results, and may require management to devote significant attention and resources to achieve strategic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67"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volume of our international sales, we may be susceptible to a number of political, economic and geographic risks that could harm our business.</w:t>
      </w:r>
    </w:p>
    <w:p>
      <w:pPr>
        <w:spacing w:after="0" w:line="40"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are inherent limitations on the effectiveness of our controls and if we fail to implement and maintain effective internal control over financial reporting, it could adversely impact our business, results of operations, investor confidence and our stock price.</w:t>
      </w:r>
    </w:p>
    <w:p>
      <w:pPr>
        <w:spacing w:after="0" w:line="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stockholders.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financial and economic conditions in certain markets and of certain economies and sovereign states have had, and may continue to have, significant effects on our customers and suppliers, and has in the past, and may in the future have, a material adverse effect on our business, operating results, financial condition and stock price.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37" w:lineRule="exact"/>
        <w:rPr>
          <w:rFonts w:ascii="Arial" w:cs="Arial" w:eastAsia="Arial" w:hAnsi="Arial"/>
          <w:sz w:val="22"/>
          <w:szCs w:val="22"/>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to offset future taxable income for U.S. federal income tax purposes and other tax benefits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tension in U.S.-China trade relations may adversely impact our supply chain operations and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intellectual property rights, we may be deprived of legal recourse against those who misappropriate our intellectual property.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sufficient radio frequency spectrum is not allocated for use by our products, or we fail to obtain regulatory approval for our products, our ability to market our products may be restricted.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used in critical communications networks which may subject us to significant liability claims.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regarding our intellectual property. This litigation could be costly to defend and resolve and could prevent us from using or selling the challenged technology.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rules, regulations and policies regarding data privacy and cybersecurity. Many of these laws and regulations are subject to change and reinterpretation, and could result in claims, changes to our business practices, monetary penalties, increased cost of operations, reputational damage or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attention to environmental, social, and governance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of Delaware law, Tax Benefit Preservation Plan (the “Plan”), and provisions in our Amended and Restated Certificate of Incorporation, as amended, and Amended and Restated Bylaws could make a third-party acquisition of us difficult.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6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catastrophic events such as terrorism and war could have an adverse effect on our business.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more volatile and difficult to predict and can complicate the proper recognition of revenue on more complex sales transactions.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and the design process required to integrate our products into our customers’ networks.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4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the challenges from our lengthy sales cycle, our recognition of revenue from our selling efforts may be substantially delayed, our ability to forecast our future revenue may be more limited and our revenue may fluctuate significantly from quarter to quarter.</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operating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in pursuit of new market opportunities, or to mitigate supply chain disruptions. Accordingly, we cannot provide assurances that we will be able to achieve profitability in the future or that if profitability is attained, that we will be able to sustain profitability, particularly on a quarter-to-quarter basis.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number of third-party service partners, to complement our global operations. We rely upon these partners for certain installation, maintenance, logistics and support functions. In addition, as our customers increasingly seek to rely on vendors to perform additional services relating to the design, construction and operation of their networks, the scope of work performed by our service partners is likely to increase and may include areas where we have less experience providing or managing such services. We must successfully identify, assess, train and certify qualified service partners to ensure the proper installation, deployment and maintenance of our products. The vetting and certification of these partners can be costly and time-consuming, and certain partners may not have the same operational history, financial resources and scale as we have. Moreover, certain service partners may provide similar services for other companies, including our competitors. We may not be able to manage our relationships with our service partners effectively, and we cannot be certain that they will be able to deliver services in the manner or time required, that we will be able to maintain the continuity of their services, or that they will adhere to our approach to ethical business practices.</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do not effectively manage our relationships with third-party service partners, or if they fail to perform these services in the manner or time required, our financial results and relationships with our customers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the optimal mix and location of our manufacturing assets and our third-party contract manufacturer assets, and any movement or re-allocation of these manufacturing assets may not be successful, could disrupt our operations, cause us to incur increased costs, and adversely affect our business and our operating results.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Asia and the United States. We continually evaluate the optimal mix and location of our manufacturing assets and our third-party contract manufacturer assets, to optimize our manufacturing footprint with our global customer base. Any of our decisions to move or re-allocate manufacturing assets to new locations or different third-party contract manufacturers may not be successful, could disrupt our operations, cause us to incur increased costs, and adversely affect our business and our operating results. The movement of manufacturing assets can be capital intensive, costly and time-consuming, and may cause disruptions in our ability to fulfill customer orders in a timely manner.</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are not successful in optimizing the mix and location of our manufacturing assets and our third-party contract manufacturer assets, our financial results and relationships with our customers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respond to rapid technological change and comply with evolving industry standards and requirements for our products to be successful.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optical transport networking equipment market is characterized by rapid technological change, changes in customer requirements and evolving industry standards. We continually invest in research and development to sustain or enhance our existing products, but the introduction of new communications technologies and the emergence of new industry standards or requirements could render our products obsolete. Further, in developing our products, we have made, and will continue to make, assumptions with respect to which standards or requirements will be adopted by our customers and competitors. If the standards or requirements adopted by our prospective customers are different from those on which we have focused our efforts, market acceptance of our products would be reduced or delayed, and our business would be harmed.</w:t>
      </w:r>
    </w:p>
    <w:p>
      <w:pPr>
        <w:spacing w:after="0" w:line="13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continuing to invest a significant portion of our research and development efforts in the development of our next-generation products. We expect our competitors will continue to improve the performance of their existing products and introduce new products and technologies and to influence customers’ buying criteria so as to emphasize product capabilities that we do not, or may not, possess. To be competitive, we must anticipate future customer requirements and continue to invest significant resources in research and development, sales and marketing, and customer support. If we do not anticipate these future customer requirements and invest in the technologies necessary to enable us to have and to sell the appropriate solutions, it may limit our competitive position and future sales, which would have an adverse effect on our business and financial condition. We may not have sufficient resources to make these investments and we may not be able to make the technological advances necessary to be competitive.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average sales prices may decline in the future.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experienced, and could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commercial risks and exposures could increase if the financial condition of our customers declines.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If customers fail to meet their obligations to us, we may experience reduced cash flows and losses in excess of reserves, which could materially adversely impact our results of operations and financial position.</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Because a significant amount of our revenue may come from a limited number of customers, the termination of any of these customer relationships may adversely affect our business. Our historical accounts receivable balances have been concentrated in 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are unable to attract and retain key personnel.</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for maintaining and improving our position in the market, which can adversely affect our revenue growth and operating results.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and Nokia, as well as a number of other public and private companies, such as Ceragon Networks.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compete for acquisition and expansion opportunities with many entities that have substantially greater resources than we have. Our competitors may enter business combinations to accelerate product development or to compete more aggressively and we may lack the resources to meet such enhanced competition.</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performance problems, including undetected errors in our hardware or software, or deployment delays could harm our business and reputation.</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development and production of products with high technology content is complicated and often involves problems with hardware, software, components and manufacturing methods. Complex hardware and software systems, such as our products, can often contain undetected errors or bugs when first introduced or as new versions are released. In addition, errors associated with components we purchase from third parties, including customized components, may be difficult to resolve.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issues in the past in connection with our products, including failures due to the receipt of faulty components from our suppliers and performance issues related to software updates. From time to time we have had to replace certain components or provide software remedies or other remediation in response to errors or bugs, and we may have to do so again in the future. In addition, performance issues can be heightened during periods where we are developing and introducing multiple new products to the market, as any performance issues we encounter in one technology or product could impact the performance or timing of delivery of other products. Our products may also suffer degradation of performance and reliability over time.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reliability, quality, security or network monitoring problems develop, a number of negative effects on our business could result, including:</w:t>
      </w:r>
    </w:p>
    <w:p>
      <w:pPr>
        <w:spacing w:after="0" w:line="306"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orders from existing customers;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interest from potential customers;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ability to recognize revenue or in collecting accounts receivables;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fixing hardware or software defects or replacing products;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service and warranty expenses;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inventory excess and obsolescence expense;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product returns;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engineering personnel from our product development efforts;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liquidated damages, performance guarantees or similar penalties.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Because we outsource the manufacturing of certain components of our products, we may also be subject to product performance problems as a result of the acts or omissions of third parties, and we may not have adequate compensating remedies against such third parties.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encounter interruptions or delays in the activation of our products at a customer’s site. These interruptions or delays may result from product performance problems or from issues with installation and activation, some of which are outside our control. If we experience significant interruptions or delays that we cannot promptly resolve, the associated revenue for these installations may be delayed or confidence in our products could be undermined, which could cause us to lose customers, fail to add new customers, and consequently harm our financial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assurance that we will not encounter problems with our contract manufacturer related to these manufacturing services or that we will be able to replace a contract manufacturer that is not able to meet our demand.</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or limited sources and geographies for some key components and failure to receive timely delivery of any of these components could result in deferred or lost sales.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Additionally, certain semiconductor supply is concentrated in Taiwan, with little to no availability in other geographies. As such, any military conflict between Taiwan and China could interrupt supply.</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supply chain strategy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have a large customer base, during any given quarter or fiscal year a small number of customers may account for a significant portion of our revenue.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2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strategic transaction opportunities which could involve merger, divestiture, sale and/or acquisition activities that could disrupt our operations and harm our operating results, and may require management to devote significant attention and resources to achieve strategic transactions.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product lines, technologies, and personnel. Strategic transactions involve numerous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820" w:hanging="326"/>
        <w:spacing w:after="0" w:line="28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1"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 resulting from business combinations, sales, divestitures and/or restructurings;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completing projects associated with in-process research and development intangibles;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each market have stronger market positions;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dependence on unfamiliar supply chains or relatively small supply partners;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increased expenses associated with acquisitions; and</w:t>
      </w:r>
    </w:p>
    <w:p>
      <w:pPr>
        <w:spacing w:after="0" w:line="6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transactions may also cause us to:</w:t>
      </w:r>
    </w:p>
    <w:p>
      <w:pPr>
        <w:spacing w:after="0" w:line="63"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common stock that would dilute our current stockholders or cause a change in control of the combined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resources, or incur debt;</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leverage and debt service requirements if we incur additional debt to pay for an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liabilities;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non-amortizable intangible assets that are subject to impairment testing on a regular basis and potential periodic impairment charges;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tax expenses related to the effect of acquisitions on our intercompany R&amp;D cost sharing arrangement and legal structure;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or other litigation.</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Strategic transactions may require our management to devote significant attention and resources to integrating acquired businesses within our business. Potential difficulties that may be encountered in the integration process include, among others:</w:t>
      </w:r>
    </w:p>
    <w:p>
      <w:pPr>
        <w:spacing w:after="0" w:line="243" w:lineRule="exact"/>
        <w:rPr>
          <w:sz w:val="20"/>
          <w:szCs w:val="20"/>
          <w:color w:val="auto"/>
        </w:rPr>
      </w:pPr>
    </w:p>
    <w:p>
      <w:pPr>
        <w:ind w:left="6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acquired business into the Aviat business in a manner that permits us to achieve the revenue and synergies we anticipated from the transaction;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acquired businesses, while maintaining focus on providing consistent, high-quality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relationships with customers, vendors and business partners;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strategic transactions and integrating acquired operations into Aviat;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loss of momentum in, the ongoing business or inconsistencies in standards, controls, procedures and policies.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Delays or difficulties in the integration process could adversely affect our business, financial results, financial condition and stock price. Even if we are able to integrate our business operations successfully, there can be no assurance that this integration will result in the realization of the full benefits of synergies, cost savings, innovation and operational efficiencies that we currently expect or have communicated from this integration or that these benefits will be achieved within the anticipated time frame.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Due to the volume of our international sales, we may be susceptible to a number of political, economic, financial and geographic risks that could harm our business.</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on sales to customers outside the U.S. In fiscal 2024, our sales to international customers accounted for 52%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(“FCPA”),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the risks and challenges of doing business internationally include:</w:t>
      </w:r>
    </w:p>
    <w:p>
      <w:pPr>
        <w:spacing w:after="0" w:line="63"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 including its impact on unhedgeable currencies and our forecast variations for hedgeable currencies;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tariffs and other barriers and restrictions;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operation of an enterprise spread over various countries;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variety of laws and regulations in various countries;</w:t>
      </w:r>
    </w:p>
    <w:p>
      <w:pPr>
        <w:spacing w:after="0" w:line="63" w:lineRule="exact"/>
        <w:rPr>
          <w:rFonts w:ascii="Times New Roman" w:cs="Times New Roman" w:eastAsia="Times New Roman" w:hAnsi="Times New Roman"/>
          <w:sz w:val="18"/>
          <w:szCs w:val="18"/>
          <w:color w:val="auto"/>
        </w:rPr>
      </w:pPr>
    </w:p>
    <w:p>
      <w:pPr>
        <w:ind w:left="820" w:right="20" w:hanging="326"/>
        <w:spacing w:after="0" w:line="28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unethical business practices in developing countries;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inflation and trade relationships;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to locations where we conduct business;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kidnapping and high crime rate;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dollars especially in countries with economies highly dependent on resource exports, particularly oil;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export regulations.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material portion of our sales and expenses stem from countries outside of the United States, and are in currencies other than U.S. dollars, and therefore subject to foreign currency fluctuation. Accordingly, fluctuations in foreign currency rates could have a material impact on our financial results in future periods. From time to time, we enter into foreign currency exchange forward contracts to reduce the volatility of cash flows primarily related to forecasted foreign currency expenses. These forward contracts reduce the impact of currency exchange rate movements on certain transactions, but do not cover all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foreign-denominated transactions and therefore do not entirely eliminate the impact of fluctuations in exchange rates on our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 and if we fail to implement and maintain effective internal control over financial reporting, it could adversely impact our business, results of operations, investor confidence and our stock price.</w:t>
      </w:r>
    </w:p>
    <w:p>
      <w:pPr>
        <w:spacing w:after="0" w:line="10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including at times of personnel turnover.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 We may not be successful implementing internal control procedures related to acquired businesses. Our evaluation and remediation of assessed deficiencies over internal controls, if any, could require us to incur significant expense and adversely affect our operating results, investor confidence and our stock price.</w:t>
      </w:r>
    </w:p>
    <w:p>
      <w:pPr>
        <w:spacing w:after="0" w:line="14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discussed in Note 16. Revisions to Prior Period Consolidated Financial Statements of the Notes to the consolidated financial statements in this Annual Report on Form 10-K, subsequent to the issuance of the consolidated financial statements and related disclosures for the fiscal year ended June 30, 2023, the Company identified certain errors in its previously issued consolidated financial statements related to estimated total contract costs and progress to completion for an over-time arrangement. The Company has identified additional errors impacting the quarterly financial statements for fiscal 2024 related to the recognition of revenue prior to performance obligations being met and related to journal entries recorded in error.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for any of the prior reporting periods in which they occurred, but that correcting the error in the current reporting period would be material to the Company’s results of operations for fiscal 2024. As a result, the Company has restated the prior period financial statements and related disclosures for fiscal 2023 to correct the errors. The Company will also correct previously issued quarterly financial statements and related disclosures for such immaterial errors in future filings, as applicable (see “Part II, Item 9B. Other Information” below for additional information).</w:t>
      </w:r>
    </w:p>
    <w:p>
      <w:pPr>
        <w:spacing w:after="0" w:line="13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Ineffective internal control over financial reporting could result in errors in our financial statements, reduce investor confidence, and adversely affect our stock price. As disclosed in Part II, Item 9A “Controls and Procedures” in this Form 10-K, we concluded that our internal control over financial reporting was not effective for the fiscal year ended June 28, 2024, due to certain material weaknesses identified related to an ineffective control environment, ineffective control activities, and ineffective monitoring activities. We implemented certain corrective measures in the fourth quarter of fiscal 2024, including hiring a new Chief Financial Officer, Head of Internal Audit, and backfilling vacancies resulting from key finance and accounting personnel turnover. However, due to the material weaknesses described above, there is a reasonable possibility that our existing controls would not have detected a material misstatement in a timely manner if it were to be material. These measures are part of a process of remediating the material weaknesses that is under way and that we believe will remediate the material weaknesses. However, if we are unable to remediate the material weaknesses in an appropriate and timely manner, or if we identify additional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violations of applicable securities laws and stock exchange listing requirements; subject us to litigation and investigations; negatively affect investor confidence in our financial statements; and adversely impact our stock price and ability to access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global or market specific financial and economic conditions in certain markets and of certain economies and sovereign states have had, and may continue to have, significant effects on our customers and suppliers, and has in the past, and may in the future have, a material adverse effect on our business, operating results, financial condition and stock price.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effects of global financial and economic conditions in certain markets and of certain economies and sovereign states include, among other things, significant reductions in available capital and liquidity from credit markets, supply or demand driven inflationary pressures, and substantial fluctuations in currency values worldwide.</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Supply or demand driven scarcity can lead to significant inflationary pressures on the cost of our products from our suppliers. Our ability to substantially offset inflationary impacts by raising prices may be limited by the competitive factors discussed above.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global financial markets decline for long periods, or if there is a downgrade of the U.S. government credit rating due to an actual or threatened default on government debt, or downgrades of credit ratings of other sovereign states, our ability and our customers and suppliers ability to access capital and maintain liquidity for continuing operations may be adversely affected.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with respect to our credit facility discussed under “Liquidity, Capital Resources and Financial Strategies” in Item 7 of this Annual Report on Form 10-K, our ability to access the funds available under our credit facility could be materially adversely affected.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potential effects of these economic factors are difficult to forecast and mitigate. As a consequence, our operating results for a particular period are difficult to predict and prior results are not necessarily indicative of results to be expected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periods. Any of the foregoing effects could have a material adverse effect on our business, results of operations, and financial condition and could adversely affect our stock price.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1"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estimated taxes upon finalization of various tax returns;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write-offs of acquired in-process research and development and impairment of goodwill in connection with acquisitions;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 expense;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international tax laws, treaties, rulings, regulations or agreements or the interpretation of such tax laws, treaties, rulings, regulations or agreements, including the impact of the Tax Cuts and Jobs Act of 2017 and any new administrations;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the loss of a major tax dispute;</w:t>
      </w:r>
    </w:p>
    <w:p>
      <w:pPr>
        <w:spacing w:after="0" w:line="63" w:lineRule="exact"/>
        <w:rPr>
          <w:rFonts w:ascii="Times New Roman" w:cs="Times New Roman" w:eastAsia="Times New Roman" w:hAnsi="Times New Roman"/>
          <w:sz w:val="18"/>
          <w:szCs w:val="18"/>
          <w:color w:val="auto"/>
        </w:rPr>
      </w:pPr>
    </w:p>
    <w:p>
      <w:pPr>
        <w:ind w:left="820" w:right="20" w:hanging="326"/>
        <w:spacing w:after="0" w:line="281"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tax authority challenging our operating structure, intercompany pricing policies or the taxable presence of our key subsidiaries in certain countries;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purchase accounting for acquisitions and restructuring charges that may cause fluctuations between reporting periods;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may be incurred upon a repatriation of cash from foreign operations.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significant increase in our future effective tax rates could impact our results of operations for future periods adversely.</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for U.S. federal income tax purposes and other tax benefits may be limited.</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these Tax Benefits are a valuable asset for us. The Amended and Restated Tax Benefit Preservation Plan (the “Plan”), dated as of August 27, 2020, and amended as of February 28, 2023, is intended to protect our Tax Benefits during the effective period of the Plan. The amended Plan was approved at the Company’s November 2023 Annual Meeting of Stockholders, which extended the final expiration date of the Plan until March 3, 2026. Although the Plan is intended to reduce the likelihood of an “ownership change” that could adversely affect us, there is no assurance that the restrictions on transferability in the Plan will prevent all transfers that could result in such an “ownership change”.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tension in U.S.-China trade relations may adversely impact our supply chain operations and business.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government has taken certain actions that change U.S. trade policies, including tariffs that affect certain products manufactured in China. Some components manufactured by our Chinese suppliers are subject to tariffs if imported into the United States. The Chinese government has taken certain reciprocal actions, including recently imposed tariffs affecting certain products manufactured in the United States. Certain of our products manufactured in our U.S. operations have been included in the tariffs imposed on imports into China from the United States. Although some of the products and components we import are affected by the tariffs, at this time, we do not expect these tariffs to have a material impact on our business, financial condition or results of operations.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is unknown whether and to what extent additional new tariffs (or other new laws or regulations) will be adopted that increase the cost or feasibility of importing and/or exporting products and components from China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compete will depend, in part, on our ability to obtain and enforce intellectual property protection for our technology in the U.S. and internationally. We rely upon a combination of trade secrets, trademarks, copyrights, patents, contractual rights and technological measures to protect our intellectual property rights from infringement, misappropriation or other violations to maintain our brand and competitive position. We also make business decisions about when to seek patent protection for a particular technology and when to rely upon trade secret protection, and the approach we select may ultimately prove to be inadequate. With respect to patents, we cannot be certain that patents will be issued as a result of any currently pending patent application or future patent applications, or that any of our patents, once issued, will provide us with adequate protection from competing products or intellectual property owned by others. For example, issued patents may be circumvented or challenged, declared invalid or unenforceable or narrowed in scope. Furthermore, we may not be able to prevent infringement, misappropriation and unauthorized, use of our owned and exclusively-licensed intellectual property. We also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in the U.S. or based on intellectual property rights and laws in other nations that are different from those established in the U.S.</w:t>
      </w:r>
    </w:p>
    <w:p>
      <w:pPr>
        <w:spacing w:after="0" w:line="136"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color w:val="auto"/>
        </w:rPr>
        <w:t>In addition, we enter into confidentiality and invention assignment agreements with our employees and contractors and enter into non-disclosure agreements with our suppliers and appropriate customers so as to limit access to and disclosure of our proprietary information.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or misappropriated or violated intellectual property is difficult, expensive, and time-consuming, and the outcome is unpredictable.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assurances that any steps taken by us will be adequate to deter infringement, misappropriation, violation, dilution or otherwise impede independent third-party development of similar technologies. Any of our intellectual property rights may be successfully challenged, opposed, diluted, misappropriated, violated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other intellectual property rights. In the event that such intellectual property arrangements are insufficient, our business, financial condition and results of operations could be materially harmed.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including the SEC’s recently-approved (though currently paused, pending litigation) rules relating to the disclosure of climate-related information.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used in critical communications networks which may subject us to significant liability claims.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wireless telecommunications industry is characterized by vigorous protection and pursuit of intellectual property rights, which has resulted in often protracted and expensive litigation. Any litigation regarding patents or other owned or exclusively licensed intellectual property, including claims that our use of intellectual property infringes or violates the rights of others, could be costly and time-consuming and could divert our management and key personnel from our business operations. The complexity of the technology involved and the uncertainty of intellectual property litigation increase these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regulations and policies regarding data privacy and cybersecurity. Many of these laws and regulations are subject to change and reinterpretation, and could result in claims, changes to our business practices, monetary penalties, increased cost of operations, reputational damage or other harm to our business.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and local laws, directives, rules, standards, regulations, policies and contractual obligations relating to data privacy and security. The regulatory framework for data privacy and security worldwide is continuously evolving and developing and, as a result, interpretation and implementation standards and enforcement practices are likely to remain uncertain for the foreseeable future. It is also possible inquiries and enforcement actions from governmental authorities regarding cybersecurity breaches increase in frequency and scope. These data privacy and security laws also are not uniform, which may complicate and increase our costs for compliance. As a result, we anticipate needing to dedicate substantial resources to comply with such laws, regulations, and other obligations relating to privacy and cybersecurity. Furthermore, we cannot provide assurance that we will not face claims, allegations, or other proceedings related to our obligations under applicable data privacy and security laws. Any failure or perceived failure by us or our third-party service providers to comply with any applicable laws relating to data privacy and security, or any compromise of security that results in the unauthorized access, improper disclosure, or misappropriation of personal data or other customer data, could result in significant liabilities, and negative publicity and reputational harm, one or all of which could have an adverse effect on our reputation, business, financial condition and operations.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Environmental, health and safety regulations govern the manufacture, assembly and testing of our products, including without limitation regulations governing the emission of pollutants and the use, remediation, and disposal of hazardous materials (including electronic wastes). Our failure or the failure of our suppliers or contract manufacturers to properly manage the use, transportation, emission, discharge, storage, recycling or disposal of wastes generated from our operations could subject us to increased compliance costs or liabilities such as fines and penalties. We may also be subject to costs and liabilities for environmental clean-up costs on sites owned by us, sites previously owned by us, or treatment and disposal of wastes attributable to us from past operations, under the Comprehensive Environmental Response, Compensation and Liability Act or equivalent laws. Existing and future environmental regulations may additionally restrict our and our suppliers’ use of certain materials to manufacture, assemble and test products. New or more stringent environmental requirements applicable to our operations or the operations of our suppliers could adversely affect our costs of doing business and result in material costs to our operations.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Environmental, Social, and Governance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Increasing attention to, and societal expectations on companies to address, climate change and other environmental and social impacts, investor and societal expectations regarding voluntary ESG disclosures may result in increased costs to us and our suppliers, contract manufacturers, and customers. Moreover, while we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in March 2024, the SEC approved final rules that necessitate the disclosure of climate-related information in registration statements and periodic reports. In April 2024, the SEC issued an Order to stay its climate rule, pausing the implementation of the final rules. We are assessing the proposed final rules, but at this time we cannot predict the costs of implementation or any potential adverse impacts resulting from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 To the extent the final rules are upheld, we could incur increased costs relating to the assessment and disclosure of climate-related information in our periodic reports.</w:t>
      </w:r>
    </w:p>
    <w:p>
      <w:pPr>
        <w:spacing w:after="0" w:line="10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public awareness and worldwide focus on climate change issues has led to legislative and regulatory efforts to limit greenhouse gas emissions, and may result in more international, federal or regional requirements or industry standards to reduce or mitigate risks related to climate change. As a result, we may become subject to new or more stringent regulations, legislation or other governmental requirements or industry standards, and we anticipate that we will see increased demand to meet voluntary criteria related to reduction or elimination of certain constituents from products, reducing emissions of greenhouse gases, and increasing energy efficiency. Increased regulation of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the Amended and Restated Tax Benefit Preservation Plan (the “Plan”), and provisions in our Amended and Restated Certificate of Incorporation, as amended, and Amended and Restated Bylaws could make a third-party acquisition of us difficult.</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Plan and the amendments to our Amended and Restated Certificate of Incorporation, as amended (the “Charter Amendments”) could make an acquisition of us more difficult.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such as terrorism and war could have an adverse effect on our business.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Natural disasters, such as hurricanes, earthquakes, fires, extreme weather conditions and floods, could adversely affect our operations and financial performance. In addition, climate change may contribute to the increased frequency or intensity of extreme weather events, including storms, wildfires, and other natural disasters. Further, acts of terrorism or war could significantly disrupt our supply chain and access to vital components. Such events have in the past and could in the future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or contract manufacturers, a temporary disruption in the transport of goods from overseas, and delays in the delivery of goods. Accordingly, climate change and natural disasters may impact the availability and cost of materials and natural resources, sources and supply of energy necessary for our operations, and could also increase insurance and other operating costs. Many of our facilities around the world (and the operations of our suppliers) are in locations that may be impacted by the physical risks of climate change, and we face the risk of losses incurred as a result of physical damage to our facilities or those of our suppliers, such as loss or spoilage of inventory and business interruption caused by such events. In addition, if there is a natural disaster in any of the locations in which our significant customers are located, our customers may incur losses or sustained business interruption, or both, which may materially impair their ability to continue their purchase of products from us.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10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interruption, disruption, destruction, penetration or attacks due to natural disasters, power loss, telecommunications failure, terrorist attacks, domestic vandalism, Internet failures, computer malware, ransomware, cyberattacks, social engineering attacks, phishing attacks, data breaches and other events unforeseen or generally beyond our control. Additionally, advances in technology, an increased level of sophistication and expertise of hackers, widespread access to generative AI, and new discoveries in the field of cryptography can result in a compromise or breach of our information technology systems or security measures implemented to protect our systems. Any such breach could compromise our systems and networks, which could cause system disruptions or slowdowns and exploitation of security vulnerabilities in our products, and lead to the information stored on our networks being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An increased number of our employees and service providers are working from home and connecting to our networks remotely on less secure systems, which we believe may further increase the risk of, and our vulnerability to, a cyber-attack or breach on our network. Any such actual or perceived security breach, incident or disruption could also divert the efforts of our technical and management personnel and could require us to incur significant costs and operational consequences in connection with investigating, remediating, eliminating and putting in place additional tools, devices, policies, and other measures designed to prevent such security breaches, incidents and system disruptions. Moreover, we could be required by applicable law in some jurisdictions, or otherwise find it appropriate to expend significant capital and other resources, to notify or respond to applicable third parties or regulatory authorities due to any actual or perceived security incidents or breaches to our systems and its root cause.</w:t>
      </w:r>
    </w:p>
    <w:p>
      <w:pPr>
        <w:spacing w:after="0" w:line="13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an actual or perceived breach of network security occurs in our network or in the network of a customer of our security products, regardless of whether the breach is attributable to our products, the market perception of the effectiveness and safety of our products could be harmed. Because the techniques used by computer programmers and hackers, many of whom are highly sophisticated and well-funded, to access or sabotage networks or systems change frequently and generally are not recognized until after they are used, we may be unable to anticipate or immediately detect these cyber-attacks. This could impede our sales, manufacturing, distribution or other critical functions. In addition, our ability to defend against and mitigate cyberattacks depends in part on prioritization decisions that we and third parties upon whom we rely make to address vulnerabilities and security defects. While we endeavor to address all identified vulnerabilities in our products, we must make determinations as to how we prioritize developing and deploying the respective fixes, and we may be unable to do so prior to an attack.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 Furthermore, even once a vulnerability has been addressed, for certain of our products, the fix will only be effective once a customer has updated the impacted product with the latest release, and customers that do not install and run the latest supported versions of our products may remain vulnerable to attack.</w:t>
      </w:r>
    </w:p>
    <w:p>
      <w:pPr>
        <w:spacing w:after="0" w:line="13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cyber-attacks become more sophisticated, the need to develop, modify, upgrade or enhance our information technology infrastructure and measures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or otherwise fulfill our contractual obligations to our customers could be delayed or impaired which would adversely affect our business, financial results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Aviat, cybersecurity processes, controls and technologies have been implemented to help facilitate the Company’s efforts to identify, assess and manage material risks associated with cybersecurity threats.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sought to leverage the National Institute of Standards and Technology Cybersecurity Framework (the "NIST CSF") as a guideline for its cybersecurity framework and to help identify, assess and manage cybersecurity risks related to its business. The Company regularly engages third party experts, including cybersecurity assessors, consultants and auditors to evaluate and test our cybersecurity risk management systems and processes. The Company’s partnership with these third-parties include regular audits and threat assessments. The Company requires all of its third-party information technology vendors to undergo evaluations by the Company’s internal data privacy and data security team as a part of efforts to assess, document and mitigate potential cybersecurity threats associated with the use of such vendors and the software, applications and services they provide.</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undertake ongoing cyber risk assessments as part of our efforts to detect, evaluate and respond to potential cybersecurity threats, including regular testing by our internal information security team. We require all employees and contractors to participate in cybersecurity training designed to enhance their understanding of cyber threats and their ability to identify and escalate potential incidents. Our vulnerability management program is designed to identify, assess, and remediate cybersecurity threats in our systems, such as through penetration testing.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Reporting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cybersecurity incidents occur, certain of the Company’s executive leadership team, legal counsel, and Audit Committee would be briefed and a determination would be made as to whether such incident or vulnerability is deemed material to the Company. The Company’s incident response plan is tested annually to assess its operational effectiveness. We conduct an annual “tabletop” exercise during which we simulate cybersecurity incidents to help us prepare to respond to a cybersecurity incident and to identify areas for potential improvement.</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the Company does not believe it has encountered, and has not identified any risks from cybersecurity incidents that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information technology systems could have significant consequences to the business. See “Item 1A, Risk Factors,” for additional information about the risks to our business associated with a breach or compromise to our information technology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Aviat’s Board of Directors has oversight of the Company’s cybersecurity risk as a component of its risk management. This includes prioritization of cybersecurity risks and the allocation of resources. The Board of Directors receives regular updates on the Company’s cybersecurity program. The Board of Directors have delegated its responsibility for risk management oversight to the Audit Committee, which regularly reviews Aviat’s cybersecurity program with the Company’s management. The Company’s management, including its Senior Director of Information Technology, Chief Financial Officer, and General Counsel, provide the Board of Directors updates regarding current and emerging cybersecurity threats, status of ongoing cybersecurity initiatives, certain incident reports and events, remediation efforts, and compliance with regulatory and industry standards.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Senior Director of Information Technology is primarily responsible for assessing and managing our material risks from cybersecurity threats, monitoring the effectiveness of our cybersecurity detection and response processes in countering current threats and providing updates to the executive team.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in multiple locations in the United States and internationally. Aviat’s corporate headquarters is in Austin, Texas and most of its locations based in the United States are in Texas. Internationally, the Company leases facilities throughout Europe, North America, Africa and Asia. The Company owns one facility in Wellington, New Zealand. Refer to Note</w:t>
      </w:r>
    </w:p>
    <w:p>
      <w:pPr>
        <w:spacing w:after="0" w:line="1" w:lineRule="exact"/>
        <w:rPr>
          <w:sz w:val="20"/>
          <w:szCs w:val="20"/>
          <w:color w:val="auto"/>
        </w:rPr>
      </w:pPr>
    </w:p>
    <w:p>
      <w:pPr>
        <w:ind w:right="20" w:firstLine="8"/>
        <w:spacing w:after="0" w:line="260" w:lineRule="auto"/>
        <w:tabs>
          <w:tab w:leader="none" w:pos="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Note 5. Balance Sheet Components of the Notes to the consolidated financial statements in this Annual Report on Form 10-K for further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as of June 28, 2024, refer to “Legal Proceedings” and “Contingent Liabilities” under Note 13. Commitments and Contingencies of the Notes to the consolidated financial statements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30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on Common Stock</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common stock is listed and primarily traded on the NASDAQ Global Select Market (“NASDAQ”), under the ticker symbol AVNW. According to the records of the Company’s transfer agent, as of October 3, 2024, there were approximately 1,750 holders of record of Aviat’s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not paid cash dividends on its common stock and does not intend to pay cash dividends at this time. The Company intends to retain any earnings for use in its business. In addition, the covenants of the Company’s credit facility may restrict it from paying dividends or making other distributions to its stockholders under certain circumstances. Refer to Note 7. Credit Facility and Debt of the Notes to the consolidated financial statements in this Annual Report on Form 10-K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2024, the Company did not issue or sell any unregistered securities not previously reported on Form 10-Q or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its common stock. As of June 28, 2024, $6.9 million remains available under the stock repurchase program, and the Company may choose to suspend or discontinue the repurchase program at any time. During the fourth quarter of fiscal 2024, the Company did not repurchase any shares of its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and accompanying data compare the cumulative total return of Aviat’s common stock, the NASDAQ Composite Index and the NASDAQ Telecommunications Index for the five-year period ended June 28, 2024. The comparison assumes $100 was invested on June 28, 2019, in the Company’s common stock and each of the indices and assumes reinvestment of dividends. The historical stock price performance shown below is not indicative of future price performance. Note that this graph and accompanying data is “furnished,” not “filed,” with the SEC.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 Aviat Networks, Inc., the NASDAQ Composite Index</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5452110" cy="3634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1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06/28/19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07/03/20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07/02/21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07/01/22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06/30/23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06/28/24</w:t>
            </w: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Aviat Networks,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135.69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465.40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487.09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418.73</w:t>
            </w: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128.84</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186.10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178.08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230.80</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NASDAQ</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104.43</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139.26</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108.27</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121.56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Telecommunications</w:t>
            </w: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 Networks, Inc.’s (“Aviat”, the “Company”, “we”, “us”, or “our”) results of operations and financial condition during the two-year period ended June 28, 2024. MD&amp;A is provided as a supplement to, and should be read in conjunction with, the Company’s consolidated financial statements and accompanying notes. In the discussion herein, the fiscal years ended June 28, 2024, June 30, 2023, and July 1, 2022 are referred to as “fiscal 2024”, “fiscal 2023” and “fiscal 2022”, respectively. Aviat’s fiscal year ends on the Friday nearest to June 30. For a comparison of the results of operations for fiscal 2023 and 2022, refer to Aviat’s Annual Report on Form 10-K for the fiscal year ended June 30, 2023, filed with the SEC on August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300 patents. Aviat competes on the basis of total cost of ownership, microwave radio expertise and solutions for mission critical communications.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Refer to Note 12. Acquisitions of the Notes to the consolidated financial statements in this Annual Report on Form 10-K (the “Notes”) for further information.</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is subject to certain post-closing adjustments. The Company estimates additional cash consideration of approximately $19.9 million will be transferred to NEC in the first half of fiscal 2025, primarily related to settlement of the post-closing working capital adjustment. The Company funded the cash portion of the NEC Transaction with Term Loan borrowings under its Credit Facility (as defined below). Refer to Note 7. Credit Facility and Debt of the Notes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 (“Redline”), for a purchase price of $20.4 million. Redline is a leading provider of mission-critical data infrastructure. See Note 12. Acquisitions of the Notes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fiscal 2024.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services is a differentiating factor that wins business for the Company and enables it to expand its business with existing customers. Additionally, Aviat operates an e-commerce on-line platform, Aviat Store, that provides low-cost services, a simple experience, and fast delivery to mobile operators and private network customers. However, as disclosed in the “Risk Factors” section in Item 1A of this Annual Report on Form 10-K, a number of factors could prevent the Company from achieving its objectives, including ongoing pricing pressures attributable to competition and macroeconomic conditions in the geographic markets that it serves.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to Prior Period Consolidated Financial Statements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Subsequent to the issuance of the consolidated financial statements and related disclosures for the fiscal year ended June 30, 2023, the Company identified certain errors in its previously issued consolidated financial statements. The Company evaluated the materiality of the errors and determined that the impacts were not material, individually or in the aggregate, to the Company’s previously issued consolidated financial statements for any of the prior reporting periods in which they occurred. The Company has revised the prior period financial statements for fiscal 2024 and fiscal 2023 to correct the errors. The revisions ensure comparability across all periods presented herein. Refer to Note 16. Revisions to Prior Period Consolidated Financial Statements of the Notes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fiscal 2024 and 2023 and the related changes were as follows:</w:t>
      </w:r>
    </w:p>
    <w:p>
      <w:pPr>
        <w:spacing w:after="0" w:line="9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63,209</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48"/>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achieved revenue growth of 18.5% in fiscal 2024 primarily driven by contributions from the NEC Transaction and increased private network and mobile 5G operator demand. Contributions from the NEC Transaction totaled $54.9 million for the period from December 2023 to June 2024. Key revenue growth areas include 44% growth in software sales, 359% growth in Access LTE/5G, 36% growth in Managed Services and an increase in sales through the Aviat Store of 21%.</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North America increased by $5.4 million in fiscal 2024 primarily due to private network and mobile 5G operator demand. Services revenue in North America remained flat year-over-year as significant projects ended in fiscal 2024.</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Africa and the Middle East decreased by $(10.8) million in fiscal 2024 primarily due to cyclical softness in the capital expenditure plans of large mobile operators in the region and currency impacts from locally provided services. The Middle East as a sub-region increased by $3.3 million primarily due to contributions from the NEC Transaction of $2.5 million.</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Europe increased by $5.8 million in fiscal 2024 primarily due to increased sales to mobile operators in the region. The NEC Transaction contributed $5.6 million in sales in Europe.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Latin America and Asia Pacific increased by $63.2 million in fiscal 2024 primarily due to contributions from the NEC Transaction totaling $44.6 million and higher volumes of projects with mobile operators, including organic volume growth of $17.6 million in Asia Pacific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Revenue from product sales and services increased by 14.9% and 26.5%, respectively in fiscal 2024 primarily due to the same overall factors of revenue growth discussed previously.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222,051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35.5 %</w:t>
            </w:r>
          </w:p>
        </w:tc>
        <w:tc>
          <w:tcPr>
            <w:tcW w:w="42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35.5 %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3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37.4 %</w:t>
            </w:r>
          </w:p>
        </w:tc>
        <w:tc>
          <w:tcPr>
            <w:tcW w:w="428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36.9 %</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3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31.6 %</w:t>
            </w:r>
          </w:p>
        </w:tc>
        <w:tc>
          <w:tcPr>
            <w:tcW w:w="42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32.5 %</w:t>
            </w:r>
          </w:p>
        </w:tc>
      </w:tr>
    </w:tbl>
    <w:p>
      <w:pPr>
        <w:spacing w:after="0" w:line="2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margin for fiscal 2024 increased by $22.4 million compared with fiscal 2023 primarily due to the revenue growth described previously. Gross margin as a percentage of revenue was flat compared to the prior year as a result of the expected near term dilution effect of the NEC Transaction, offsetting margin expansion in the core Aviat business compared to the prior year driven by favorable customer mix and higher software sales compared to fiscal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$11.5 million in fiscal 2024 primarily due to increased product development activities and additional costs resulting from the NEC Transaction. The NEC Transaction contributed $7.2 million of the increase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85,038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increased by $15.2 million in fiscal 2024 primarily due to merger and acquisition expenses and additional costs resulting from the NEC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32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restructuring charges were $3.9 million, an increase of $0.9 million compared to fiscal 2023, primarily related to restructuring activities associated with the NEC Transaction and reductions in workforce in certain of the Company’s operations. The prior year includes non-recurring restructuring charges primarily associated with the Redline acquisition completed in the first quarter of fiscal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success in restructuring initiatives has enabled it to restructure specific groups to optimize skill sets and align its organizational structure to execute on strategic deliverables, in addition to aligning cost structure with the core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4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339.3 %</w:t>
            </w: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$1.8 million in fiscal 2024 primarily due to interest expense incurred on the Term Loan borrowings used to fund the NEC Transaction in the second quarter of fiscal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4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decreased by $(2.6) million in fiscal 2024 primarily due to non-recurring losses of $1.7 million recognized on the sale of marketable securities included in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 of income before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reporting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expense was $6.1 million in fiscal 2024 and $11.1 million in fiscal 2023. Tax expense in fiscal 2024 was primarily attributable to tax expense for the U.S. entity and profitable foreign subsidiaries, partially offset by a Canada valuation allowance release. Tax expense in fiscal 2023 was primarily attributable to tax expense related to U.S. and profitable foreign subsidiaries, including deferred tax expense associated with the acquisition of Redline (as defined above) in July 2022 and the subsequent restructuring and integration impact.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comparison of the results of operations for fiscal 2023 and 2022, refer to “Item 7. Management’s Discussion and Analysis of Financial Condition and Results of Operations” of Aviat’s Annual Report on Form 10-K for the fiscal year ended June 30, 2023, filed with the SEC on August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28, 2024, the Company’s total cash and cash equivalents were $64.6 million. Approximately $34.0 million, or 53% was held in the United States. The remaining balance of $30.6 million, or 47% was held outside the United States. Of the amount of cash and cash equivalents held by the Company’s foreign subsidiaries on June 28, 2024, $30.2 million was held in jurisdictions where its undistributed earnings are indefinitely reinvested, and if repatriated, would be subject to foreign withholding taxes.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Operating cash flows is presented as net income adjusted for certain non-cash items and changes in operating assets and liabilities. Net cash provided by (used in) operating activities was $30.5 million for fiscal 2024, compared with $(1.6) million in the prior year. The $32.2 million increase is primarily attributable to increased net income prior to non-cash adjustments and improvements in the net changes in operating assets and liabilities compared to the prior year. Net changes in operating assets and liabilities resulted in $(2.5) million of cash used in operating activities for fiscal 2024, compared to $(38.8) million in fiscal 2023. The $36.3 million decrease compared to the prior year is primarily attributable to decreases in inventory on higher sales volume, increases in accounts payable and accrued expenses due to the timing of payments, and non-recurring increases in contract manufacturing and other prepaid assets included in the prior year comparison period. These improvements were partially offset by net increases in accounts receivable and unbilled costs as a result of the timing of sales, billing activities and cash collections in the current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$35.2 million for fiscal 2024, compared to $11.9 million in the prior year. The $23.3 million increase is primarily due to payments of the cash consideration associated with the NEC Transaction of $32.2 million, partially offset by non-recurring activity included in the prior year related to proceeds received on the sale of marketable securities of $9.2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(used in) financing activities was $48.7 million for fiscal 2024, compared with $(0.7) million in the prior year. The $49.4 million increase is primarily due to the $50.0 million of Term Loan borrowings primarily used to settle the cash portion of the consideration associated with the NEC Transaction.</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June 28, 2024, the Company’s sources of liquidity consisted of $64.6 million in cash and cash equivalents, $35.1 million of available credit under its Credit Facility, and future collections of receivables from customers.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the availability under its effective shelf registration statement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Credit Facility, Borrowings and Repayment of Debt</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 Refer to Note 7. Credit Facility and Debt of the Notes for further information.</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Refer to Note 12. Acquisitions of the Notes for further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28, 2024, the available credit under the Revolver was $35.1 million, reflecting the available limit of $40.0 million less outstanding letters of credit of $4.9 million. The Company borrowed and repaid $33.2 million against the Revolver in fiscal 2024. As of June 28, 2024, the Company had $48.8 million outstanding under its Term Loan and no borrowings under its Revolver.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June 28, 2024, the applicable margin on Adjusted Term SOFR and Base Rate borrowings was 2.5% and 1.5%, respectively. The effective rate of interest on the outstanding Term Loan borrowings as of June 28, 2024 was 7.9%.</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June 28, 2024, the Company was in compliance with all financial covenants contained in the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liabilities for restructuring activities totaling $1.7 million as of June 28, 2024, which was classified as current and are expected to be paid in cash within the next 12 months. The Company expects to fund the future payments with available cash and cash provided by operations. Refer to Note 8. Restructuring Activities of the Notes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the risks associated with foreign currency exchange rates and changes in interest rates. The Company employs established policies and procedures governing the use of financial instruments to manage its exposure to such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June 28, 2024 or June 30, 2023.</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recorded in the consolidated statements of operations during fiscal 2024, 2023 and 2022 were $(0.3) million, $1.0 million and $1.1 million, respectively.</w:t>
      </w:r>
    </w:p>
    <w:p>
      <w:pPr>
        <w:spacing w:after="0" w:line="10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June 28, 2024 and June 30, 2023, the cumulative translation adjustment decreased stockholders’ equity by $19.3 million and $16.0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had $64.6 million in total cash and cash equivalents as of June 28, 2024. Cash equivalents totaled $10.3 million as of June 28, 2024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Refer to Note 6. Fair Value Measurements of Assets and Liabilities of the Notes for further information.</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The weighted-average days to maturity for cash equivalents held as of June 28, 2024 was approximately 30 days, and these investments had an average yield of approximately 5.0% per annum. A 10% change in interest rates on the Company’s cash equivalents is not expected to have a material impact on its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28, 2024, the Company had $48.8 million outstanding under its Term Loan and no borrowings under its Revolver. Refer to Note 7 Credit Facility and Debt of the Notes for further information.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June 28, 2024, the applicable margin on Adjusted Term SOFR and Base Rate borrowings was 2.5% and 1.5%, respectively. The effective rate of interest on the Company’s outstanding Term Loan borrowings as of June 28, 2024 was 7.9%.</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$0.4 million impact on annual interest expense on the Company’s outstanding long-term debt as of June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2"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for estimated costs to complete over-time services;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 and provision for excess and obsolete inventory losses;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valuation;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7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is not intended to be a comprehensive list of all of our accounting policies or estimates. Our significant accounting policies are more fully described in Note 1. The Company and Summary of Significant Accounting Policies of the Notes.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Provisions for Excess and Obsolete Losses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inventories have been valued at the lower of cost or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statements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4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or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Valuation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of amounts reported in our consolidated balance sheets, as well as operating loss and tax credit carryforwards. Certain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record deferred taxes by applying enacted statutory tax rates to the respective jurisdictions and follow specific and detailed guidelines in each tax jurisdiction regarding the recoverability of any tax assets recorded on the consolidated balance sheets and provide necessary valuation allowances as required. Future realization of deferred tax assets ultimately depends on meeting certain criteria in Financial Accounting Standards Board (“FASB”) Accounting Standards Codification (“ASC”) Topic 740, Income Taxes (“ASC 740”).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the same as these estimates. These estimates are updated quarterly based on factors such as changes in facts or circumstances, changes in tax law, new audit activity, and effectively settled issues.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as required by FASB ASC Topic 805, Business Combinations (“ASC 805”). Under the acquisition method of accounting, the assets and liabilities of acquired businesses are recorded at their estimated fair values at the date of acquisition. The excess of the purchase price over the estimated fair values of the assets acquired and liabilities assumed is recorded as goodwill. Determining the fair value of assets acquired and liabilities assumed requires management’s judgment and involves the use of significant estimates and assumptions to properly allocate purchase price consideration between the fair value of the assets acquired and liabilities assumed. The Company leverages independent third-party valuations in determining the estimated fair values of acquired tangible assets, identifiable intangible assets, and assumed liabilities. If assumptions or estimates used in determining fair values change based on information that becomes available during the one-year period from the acquisition date, we record measurement period adjustments to the assets acquired and liabilities assumed with a corresponding offset to goodwill. Upon the conclusion of the measurement period, any subsequent adjustments are recorded to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Refer to Note 1. The Company and Summary of Significant Accounting Policies of the Notes for a full description of recently issued accounting pronouncements, including the respective expected dates of adoption and effects on the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the risks associated with foreign currency exchange rates and changes in interest rates. The Company has established policies and procedures governing the use of financial instruments to manage its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60" w:type="dxa"/>
            <w:vAlign w:val="bottom"/>
            <w:gridSpan w:val="3"/>
          </w:tcPr>
          <w:p>
            <w:pPr>
              <w:ind w:left="21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3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Firms </w:t>
            </w:r>
            <w:r>
              <w:rPr>
                <w:rFonts w:ascii="Times New Roman" w:cs="Times New Roman" w:eastAsia="Times New Roman" w:hAnsi="Times New Roman"/>
                <w:sz w:val="18"/>
                <w:szCs w:val="18"/>
                <w:color w:val="000000"/>
              </w:rPr>
              <w:t>(PCAOB ID: 34 and 243)</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4020" w:type="dxa"/>
            <w:vAlign w:val="bottom"/>
            <w:gridSpan w:val="4"/>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560" w:type="dxa"/>
            <w:vAlign w:val="bottom"/>
            <w:gridSpan w:val="7"/>
            <w:shd w:val="clear" w:color="auto" w:fill="CCEEFF"/>
          </w:tcPr>
          <w:p>
            <w:pPr>
              <w:spacing w:after="0"/>
              <w:rPr>
                <w:sz w:val="16"/>
                <w:szCs w:val="16"/>
                <w:color w:val="auto"/>
              </w:rPr>
            </w:pP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560" w:type="dxa"/>
            <w:vAlign w:val="bottom"/>
            <w:gridSpan w:val="7"/>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5440" w:type="dxa"/>
            <w:vAlign w:val="bottom"/>
            <w:gridSpan w:val="13"/>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 The Company and Summary of Significant Accounting Policies</w:t>
            </w: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5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2. Net Income per Share of Common Stock</w:t>
            </w:r>
          </w:p>
        </w:tc>
        <w:tc>
          <w:tcPr>
            <w:tcW w:w="4340" w:type="dxa"/>
            <w:vAlign w:val="bottom"/>
            <w:gridSpan w:val="5"/>
            <w:shd w:val="clear" w:color="auto" w:fill="CCEEFF"/>
          </w:tcPr>
          <w:p>
            <w:pPr>
              <w:spacing w:after="0"/>
              <w:rPr>
                <w:sz w:val="16"/>
                <w:szCs w:val="16"/>
                <w:color w:val="auto"/>
              </w:rPr>
            </w:pP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Note 3. Revenue Recognition</w:t>
            </w:r>
          </w:p>
        </w:tc>
        <w:tc>
          <w:tcPr>
            <w:tcW w:w="4340" w:type="dxa"/>
            <w:vAlign w:val="bottom"/>
            <w:gridSpan w:val="5"/>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4. Leases</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5. Balance Sheet Components</w:t>
            </w: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6. Fair Value Measurements of Assets and Liabilities</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7. Credit Facility and Debt</w:t>
            </w:r>
          </w:p>
        </w:tc>
        <w:tc>
          <w:tcPr>
            <w:tcW w:w="3660" w:type="dxa"/>
            <w:vAlign w:val="bottom"/>
            <w:gridSpan w:val="3"/>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3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8. Restructuring Activities</w:t>
            </w:r>
          </w:p>
        </w:tc>
        <w:tc>
          <w:tcPr>
            <w:tcW w:w="5560" w:type="dxa"/>
            <w:vAlign w:val="bottom"/>
            <w:gridSpan w:val="16"/>
            <w:shd w:val="clear" w:color="auto" w:fill="CCEEFF"/>
          </w:tcPr>
          <w:p>
            <w:pPr>
              <w:spacing w:after="0"/>
              <w:rPr>
                <w:sz w:val="16"/>
                <w:szCs w:val="16"/>
                <w:color w:val="auto"/>
              </w:rPr>
            </w:pP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Note 9. Stockholders’ Equity</w:t>
            </w:r>
          </w:p>
        </w:tc>
        <w:tc>
          <w:tcPr>
            <w:tcW w:w="5560" w:type="dxa"/>
            <w:vAlign w:val="bottom"/>
            <w:gridSpan w:val="16"/>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10. Segment and Geographic Information</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Note 11. Income Taxes</w:t>
            </w:r>
          </w:p>
        </w:tc>
        <w:tc>
          <w:tcPr>
            <w:tcW w:w="4480" w:type="dxa"/>
            <w:vAlign w:val="bottom"/>
            <w:gridSpan w:val="6"/>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12. Acquisitions</w:t>
            </w:r>
          </w:p>
        </w:tc>
        <w:tc>
          <w:tcPr>
            <w:tcW w:w="6280" w:type="dxa"/>
            <w:vAlign w:val="bottom"/>
            <w:gridSpan w:val="23"/>
            <w:shd w:val="clear" w:color="auto" w:fill="CCEEFF"/>
          </w:tcPr>
          <w:p>
            <w:pPr>
              <w:spacing w:after="0"/>
              <w:rPr>
                <w:sz w:val="16"/>
                <w:szCs w:val="16"/>
                <w:color w:val="auto"/>
              </w:rPr>
            </w:pP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13. Commitments and Contingencies</w:t>
            </w: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5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14. Goodwill and Intangibles</w:t>
            </w:r>
          </w:p>
        </w:tc>
        <w:tc>
          <w:tcPr>
            <w:tcW w:w="5360" w:type="dxa"/>
            <w:vAlign w:val="bottom"/>
            <w:gridSpan w:val="12"/>
            <w:shd w:val="clear" w:color="auto" w:fill="CCEEFF"/>
          </w:tcPr>
          <w:p>
            <w:pPr>
              <w:spacing w:after="0"/>
              <w:rPr>
                <w:sz w:val="16"/>
                <w:szCs w:val="16"/>
                <w:color w:val="auto"/>
              </w:rPr>
            </w:pP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15. Related Party Transactions</w:t>
            </w: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16. Revisions to Prior Period Consolidated Financial Statements</w:t>
            </w:r>
          </w:p>
        </w:tc>
        <w:tc>
          <w:tcPr>
            <w:tcW w:w="2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Note 17. Subsequent Events</w:t>
            </w:r>
          </w:p>
        </w:tc>
        <w:tc>
          <w:tcPr>
            <w:tcW w:w="2840" w:type="dxa"/>
            <w:vAlign w:val="bottom"/>
            <w:gridSpan w:val="2"/>
          </w:tcPr>
          <w:p>
            <w:pPr>
              <w:spacing w:after="0"/>
              <w:rPr>
                <w:sz w:val="16"/>
                <w:szCs w:val="16"/>
                <w:color w:val="auto"/>
              </w:rPr>
            </w:pPr>
          </w:p>
        </w:tc>
        <w:tc>
          <w:tcPr>
            <w:tcW w:w="2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Aviat Networks,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Aviat Networks, Inc. and subsidiaries (the "Company") as of June 28, 2024 and June 30, 2023, the related consolidated statements of operations, comprehensive income, cash flows, and equity, for the fiscal years ended June 28, 2024 and June 30, 2023, and the related notes (collectively referred to as the "financial statements"). In our opinion, the financial statements present fairly, in all material respects, the financial position of the Company as of June 28, 2024 and June 30, 2023, and the results of its operations and its cash flows for the fiscal years ended June 28, 2024 and June 30, 2023,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June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October 4, 2024, expressed an adverse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25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Service Revenues - Estimated Costs to Complete - Refer to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two primary sources: products and services. Revenues from services include revenues from network planning and design, engineering and installation-related services. Long term contracts for these services are recognized based on an over-time recognition model using the cost-input method. Judgment is required when estimating total contract costs.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estimated costs to complete for open over-time revenue contracts at year end as a critical audit matter. The determination of the total estimated cost and progress toward completion requires management to make significant estimates and assumptions. Changes in these estimates can have a significant impact on the revenue recognized each period. Auditing these elements involved especially challenging and subjective auditor judgment in evaluating the reasonableness of management’s assumptions and estimates over the duration of these contracts.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to complete for open over-time revenue contracts used to recognize service revenues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contracts and performed the following: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costs incurred to date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cost to complete for a sample of open over-time contracts by:</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7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5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progress to completion by performing inquiries of project managers and assessing the nature of activities required to complete</w:t>
      </w:r>
    </w:p>
    <w:p>
      <w:pPr>
        <w:spacing w:after="0" w:line="107"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7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of gross margin for the selected contracts to the gross margin of similar contracts, when applicable</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 for the contract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service revenue by creating an independent estimate of gross margin based on historical margin rates and compared it to the recorded service revenue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lookback to evaluate management’s ability to estimate costs accurately by making a selection of changes in estimates during the year and testing whether the change in estimate was properly supported and recorded within the correct period</w:t>
      </w:r>
    </w:p>
    <w:p>
      <w:pPr>
        <w:spacing w:after="0" w:line="1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 NEC’s Wireless Transport Business – Key Assumptions in Valuation of Acquired Intangible Assets - Refer to Note 12 to the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completed the acquisition of NEC’s Wireless Transport on November 30, 2023. The Company accounted for the acquisition under the acquisition method of accounting for business combinations. Accordingly, the purchase price was allocated to the assets acquired and liabilities assumed based on their respective fair values, including intangible assets of $5.6 million. Management estimated the fair value of the customer relationships intangible asset using the multi-period excess earnings method, and the fair value of the technology intangible asset using the relief from royalty method, both of which are specific discounted cash flow methods. The fair value determination of the intangible assets required management to make significant estimates and assumptions related to the future profitability of the acquired business, the selection of the discount rate, and the selection of the royalty rate.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fair value determination of intangible assets for NEC’s Wireless Transport Business requires management to make estimates about the future profitability of the acquired business, the selection of the discount rate, and the selection of the royalty rate, performing audit procedures to evaluate the reasonableness of these estimates and assumptions required an increased extent of effort, including the need to involve our fair value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assumptions of future profitability of the acquired business within the company’s forecasts of future cash flows and the selection of the discount rate and royalty rate for the intangible assets included the following, among others:</w:t>
      </w:r>
    </w:p>
    <w:p>
      <w:pPr>
        <w:spacing w:after="0" w:line="108"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the profitability assumptions within management’s forecasts of cash flows by comparing the projections to historical results and certain peer companies, and performing a retrospective review.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(2) discount rate, and (3) royalty rate by:</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testing the mathematical accuracy of the calculation.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return on assets model used in estimating the selected royalty rate.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profit split analysis to assess the selected royalty rate.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profitability assumptions within the estimated future cash flows were consistent with evidence obtained in other areas of the audit.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fiscal year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income, equity, and cash flows of Aviat Networks, Inc. (the “Company”) for the fiscal year ended July 1, 2022, and the related notes (collectively referred to as the “consolidated financial statements”). In our opinion, the consolidated financial statements present fairly, in all material respects, the results of the Company’s operations and its cash flows for the fiscal year ended July 1, 2022,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2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Pr>
          <w:p>
            <w:pPr>
              <w:spacing w:after="0"/>
              <w:rPr>
                <w:sz w:val="19"/>
                <w:szCs w:val="19"/>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1, 2022</w:t>
            </w: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208,100</w:t>
            </w: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302,959</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132,404</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193,724</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109,235</w:t>
            </w: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22,596</w:t>
            </w: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57,656</w:t>
            </w: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80,490</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28,745</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Aviat Networks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r>
      <w:tr>
        <w:trPr>
          <w:trHeight w:val="234"/>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2" w:name="page53"/>
    <w:bookmarkEnd w:id="5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4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9420" w:type="dxa"/>
            <w:vAlign w:val="bottom"/>
            <w:gridSpan w:val="8"/>
          </w:tcPr>
          <w:p>
            <w:pPr>
              <w:jc w:val="center"/>
              <w:ind w:left="1693"/>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4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60" w:type="dxa"/>
            <w:vAlign w:val="bottom"/>
          </w:tcPr>
          <w:p>
            <w:pPr>
              <w:spacing w:after="0"/>
              <w:rPr>
                <w:sz w:val="19"/>
                <w:szCs w:val="19"/>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60" w:type="dxa"/>
            <w:vAlign w:val="bottom"/>
          </w:tcPr>
          <w:p>
            <w:pPr>
              <w:spacing w:after="0"/>
              <w:rPr>
                <w:sz w:val="19"/>
                <w:szCs w:val="19"/>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July 1, 2022</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21,160</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1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(1,702)</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(1,702)</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19,458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100,911</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57,170</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33,428</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87,080</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363,137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144,398</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12.6 million and 11.5 million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June 28, 2024 and June 30, 2023, respectively</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0.2 million and 0.2 million shares as of June 28, 2024 and June 30, 2023, respectively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830,048</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(589,273)</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218,739</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363,137</w:t>
            </w:r>
          </w:p>
        </w:tc>
      </w:tr>
      <w:tr>
        <w:trPr>
          <w:trHeight w:val="21"/>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40" w:top="142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type w:val="continuous"/>
        </w:sectPr>
      </w:pPr>
    </w:p>
    <w:bookmarkStart w:id="54" w:name="page55"/>
    <w:bookmarkEnd w:id="5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AVIAT NETWORKS, INC.</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792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7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20" w:type="dxa"/>
            <w:vAlign w:val="bottom"/>
            <w:tcBorders>
              <w:bottom w:val="single" w:sz="8" w:color="auto"/>
            </w:tcBorders>
          </w:tcPr>
          <w:p>
            <w:pPr>
              <w:spacing w:after="0"/>
              <w:rPr>
                <w:sz w:val="22"/>
                <w:szCs w:val="22"/>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1, 2022</w:t>
            </w:r>
          </w:p>
        </w:tc>
      </w:tr>
      <w:tr>
        <w:trPr>
          <w:trHeight w:val="20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21,160</w:t>
            </w:r>
          </w:p>
        </w:tc>
      </w:tr>
      <w:tr>
        <w:trPr>
          <w:trHeight w:val="22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(recovery from) uncollectible receivables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write-downs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(gain) on marketable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term loan</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5" w:name="page56"/>
    <w:bookmarkEnd w:id="55"/>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3"/>
        </w:trPr>
        <w:tc>
          <w:tcPr>
            <w:tcW w:w="7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48,198</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7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900" w:type="dxa"/>
            <w:vAlign w:val="bottom"/>
            <w:tcBorders>
              <w:bottom w:val="single" w:sz="8" w:color="auto"/>
            </w:tcBorders>
          </w:tcPr>
          <w:p>
            <w:pPr>
              <w:spacing w:after="0"/>
              <w:rPr>
                <w:sz w:val="24"/>
                <w:szCs w:val="24"/>
                <w:color w:val="auto"/>
              </w:rPr>
            </w:pPr>
          </w:p>
        </w:tc>
      </w:tr>
      <w:tr>
        <w:trPr>
          <w:trHeight w:val="169"/>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June 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4"/>
                <w:szCs w:val="14"/>
                <w:color w:val="auto"/>
              </w:rPr>
            </w:pPr>
          </w:p>
        </w:tc>
        <w:tc>
          <w:tcPr>
            <w:tcW w:w="90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July 1,</w:t>
            </w:r>
          </w:p>
        </w:tc>
      </w:tr>
      <w:tr>
        <w:trPr>
          <w:trHeight w:val="241"/>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property, plant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issued in connection with acquisition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345440</wp:posOffset>
            </wp:positionV>
            <wp:extent cx="5263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3"/>
                <w:szCs w:val="13"/>
                <w:color w:val="auto"/>
              </w:rPr>
            </w:pPr>
          </w:p>
        </w:tc>
        <w:tc>
          <w:tcPr>
            <w:tcW w:w="72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July 2,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818,939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(620,602)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183,335</w:t>
            </w:r>
          </w:p>
        </w:tc>
        <w:tc>
          <w:tcPr>
            <w:tcW w:w="0" w:type="dxa"/>
            <w:vAlign w:val="bottom"/>
          </w:tcPr>
          <w:p>
            <w:pPr>
              <w:spacing w:after="0"/>
              <w:rPr>
                <w:sz w:val="1"/>
                <w:szCs w:val="1"/>
                <w:color w:val="auto"/>
              </w:rPr>
            </w:pPr>
          </w:p>
        </w:tc>
      </w:tr>
      <w:tr>
        <w:trPr>
          <w:trHeight w:val="21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July 1, 2022</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11,161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823,259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(599,442)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(16,029)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201,753</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11,518</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830,048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(589,273)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218,739</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28,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12,622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w:t>
            </w:r>
          </w:p>
        </w:tc>
        <w:tc>
          <w:tcPr>
            <w:tcW w:w="2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860,071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(578,513)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255,885</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and majority owned subsidiaries. All intercompany transactions and accounts have been eliminated. Certain amounts in the consolidated financial statements have been reclassified for comparative purposes to conform to the current period consolidated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This was June 28, 2024 for fiscal 2024, June 30, 2023 for fiscal 2023 and July 1, 2022 for fiscal 2022. Fiscal 2024, 2023 and 2022 includes 52 weeks. In the notes to consolidated financial statements, we refer to our fiscal years as “fiscal 2024”, “fiscal 2023” and “fiscal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United States (“U.S. GAAP”) requires the Company to make estimates, assumptions and judgments affecting the amounts reported and related disclosures. Estimates are based upon historical factors, current circumstances and the experience and judgment of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and uncertainties in income taxes.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to Prior Period Consolidated Financial Statements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Subsequent to the issuance of the consolidated financial statements and related disclosures for the fiscal year ended June 30, 2023, the Company identified certain errors impacting previously reported financial information.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for any of the prior reporting periods in which they occurred, but that correcting the error in the current reporting period would be material to the Company’s results of operations for fiscal 2024. As a result, the Company has restated the prior period financial statements and related disclosures for fiscal 2023 to correct the errors for comparability across all periods presented herein. Refer to Note 16. Revisions to Prior Period Consolidated Financial Statements for further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at the date of purchase are considered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held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usage under the terms of contractual agreements are recorded as restricted cash. The Company’s restricted cash is included in long-term other assets on the consolidated balance sheets and represents the cash balance on its disability insurance voluntary plan account that cannot be used for any operating purposes other than to pay benefits to the insured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typically invoices customers for the sales order (or contract) value of the related products delivered at various milestones, including order receipt, shipment, installation and acceptance and for services when rendered. The Company’s trade receivables are derived from sales to customers located in North America, Latin America, Europe, Africa, the Middle East, and Asia-Pacific.</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Accounts receivable is presented net of allowance for expected credit losses to reflect any loss anticipated on the collection of the Company’s trade receivable balances. The allowance for expected credit losses is based on historical loss information, customer financial condition, and economic and geopolitical conditions for the locations where the Company’s customers operate. Accounts receivable amounts are written off when attempts to collect outstanding amounts have been exhausted or there are other indicators that the amounts are no longer collectible.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regularly requires letters of credit from certain customers and, from time to time, discounts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Financing charges on discounting the letters of credit are recorded as interest expense.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and 2023, no customer accounted for more than 10% of total revenue. During fiscal 2022 there was one customer that accounted for 13% of total revenue. As of June 28, 2024, no customer accounted for more than 10% of accounts receivable. As of June 30, 2023, a group of related entities accounted for approximately 14%, of accounts receivable.</w:t>
      </w:r>
    </w:p>
    <w:p>
      <w:pPr>
        <w:spacing w:after="0" w:line="122"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principally of cash equivalents, trade accounts receivable and from time to time, financial instruments used in foreign currency hedging activities. The Company invests excess cash primarily in prime money market funds and certificates of deposit. The Company is exposed to credit risks related to such instruments in the event of default or decrease in credit-worthiness of the issuers of the investments. Risks associated with the Company’s cash and cash equivalents are mitigated by banking with creditworthy institutions.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generally does not require collateral on accounts receivable, as the majority of customers are large, well-established companies. However, in certain circumstances, the Company may require letters of credit, additional guarantees or advance payments. The Company maintains allowances for expected credit losses, but historically has not experienced any significant losses related to any particular geographic area. The Company’s customers are primarily in the telecommunications industry, and its accounts receivable is exposed to similar credit risk characteristics as that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engages third parties to manufacture its products and procures its raw materials from third-party suppliers. In addition, certain strategic component inventory is consigned to third-party manufacturers. Other components included in the Company’s products are sourced from various suppliers and are principally industry standard parts and components that are available from multiple vendors. The inability of a contract manufacturer or supplier to fulfill the Company’s supply requirements or changes in their financial or business condition could disrupt the Company’s ability to supply quality products to its customers, and thereby may have a material adverse effect on the Company’s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The Company regularly reviews inventory quantities on hand and records adjustments to reduce the cost of inventory for excess and obsolete inventory based primarily on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stocks customer service related inventories such as service parts because the Company provides product warranties for 12 to 36 months and earns revenue by providing enhanced and extended warranty and repair service during and beyond this warranty period. Customer service related inventories consist of both component parts, which are primarily used to repair defective units, and finished units, which are provided for customer use permanently or on a temporary basis while the defective unit is being repaired. The Company records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estimates. Refer to Note 5. Balance Sheet Components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on the basis of cost less accumulated depreciation. The Company capitalizes costs of software, consulting services, hardware and other related costs incurred to purchase or develop internal-use software. Costs incurred during preliminary project assessment, re-engineering, training and application maintenance are charged to expense.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is charged to expense on a straight-line basis over the estimated useful lives of the respective assets. Leasehold improvements are depreciated on a straight-line basis over the shorter of the remaining lease term or the estimated useful life of the improvements. The useful lives of the assets are generally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5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40 years</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6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55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and are included in cost of revenues and selling and administrative expenses on the consolidated statements of operations. Cost and accumulated depreciation of assets sold or retired are removed from the respective property accounts, and any gain or loss is reflected on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as required by Financial Accounting Standards Board (“FASB”) Accounting Standards Codification (“ASC”) Topic 805, Business Combinations (“ASC 805”). Under the acquisition method of accounting, the assets and liabilities of acquired businesses are recorded at their estimated fair values at the date of acquisition. The excess of the purchase price over the estimated fair values of the assets acquired and liabilities assumed is recorded as goodwill. Determining the fair value of assets acquired and liabilities assumed requires management’s judgment and involves the use of significant estimates and assumptions to properly allocate purchase price consideration between the fair value of the assets acquired and liabilities assumed. The Company leverages independent third-party valuations in determining the estimated fair values of acquired tangible assets, identifiable intangible assets, and assumed liabilities. If assumptions or estimates used in determining fair values change based on information that becomes available during the one-year period from the acquisition date, we record measurement period adjustments to the assets acquired and liabilities assumed with a corresponding offset to goodwill. Upon the conclusion of the measurement period,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goodwill as required by FASB ASC Topic 350, Intangibles - Goodwill and Other (“ASC 350”). The Company tests goodwill for impairment on an annual basis and when events occur that may suggest that the fair value of such assets cannot support the carrying value. ASC 350 gives an entity the option to first assess qualitative factors to determine whether it is more likely than not that the fair value of a reporting unit is less than its carrying amount. If an entity determines it is not more likely than not that the fair value of a reporting unit is less than its carrying amount, then performing the quantitative impairment test is unnecessary. However, if an entity concludes otherwise, then the quantitative impairment test shall be used to identify the impairment and measure the amount of an impairment loss to be recognized (if applicable).</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tests goodwill for impairment on an annual basis on the first day of its fourth fiscal quarter. The Company has one reporting unit. A qualitative assessment was performed for fiscal 2024. This assessment considered changes in the Company’s projected future cash flows and discount rates, recent market transactions and overall macroeconomic conditions. Based on this assessment, the Company concluded that it was more likely than not that the estimated fair value of its reporting unit was higher than its carrying value and that the performance of a quantitative impairment test was not required. Refer to Note 10. Segment and Geographic Information, Note 12. Acquisitions, and Note 14. Goodwill and Intangible Assets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periodically reviews the carrying value of its long-lived assets, including finite-lived intangibles, and property, plant and equipment, whenever events or changes in circumstances indicate that the carrying value may not be recoverable or that the assigned useful lives may no longer be appropriate.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 The Company’s estimate of future cash flows is based upon, among other things, certain assumptions about expected future operating performance, growth rates and other factors. The actual cash flows realized from these assets may vary significantly from estimates. There were no impairment losses recorded for fiscal 2024, 2023 and 2022.</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amortizes the cost of finite-lived intangible assets on a straight-line basis over their estimated useful lives, which approximates the pattern of economic benefit. Refer to Note 14. Goodwill and Intangible Assets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product sales, the Company provides for future warranty costs upon product delivery. The specific terms and conditions of those warranties vary depending upon the type of product sold and country of delivery. In the case of products sold by the Company, product warranties generally start from the delivery date and continue for one to three years, depending on the terms.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the Company’s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 Refer to Note 5. Balance Sheet Components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globally under non-cancelable operating lease agreements. The Company determines if an arrangement contains a lease at inception. Operating lease right-of-use assets and lease liabilities are recognized based on the present value of the future minimum lease payments over the lease term at commencement date. As most of the Company’s leases do not provide an implicit rate, the Company’s incremental borrowing rate based on the remaining lease term at commencement date is used in determining the present value of future payments. The operating lease right-of-use assets also include any lease payments made and exclude lease incentives and initial direct costs incurred. Variable lease payments are expensed as incurred and are not included within the right-of-use asset and lease liability calculation. Lease expense for minimum lease payments is recognized on a straight-line basis over the lease term. Certain of the Company’s lease arrangements include non-lease components and the Company accounts for non-lease components together with lease components for all such lease arrangements.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our consolidated balance sheets. Lease expense for these leases are recognized on a straight-line basis over the lease term. Refer to Note 4. Leases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functional currency of certain of the Company’s international subsidiaries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non-functional currency denominated monetary assets and liabilities of these subsidiaries are re-measured into U.S. dollars at the current exchange rate as of the applicable balance sheet date. Non-monetary assets and liabilities are measured at historical rates.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other international subsidiaries use their respective local currency as their functional currency. Assets and liabilities of these subsidiaries are translated at the current exchange rates in effect at the balance sheet date, and income and expense accounts are translated at average exchange rates during the period. The resulting translation adjustments are included in accumulated other comprehensive loss.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Gains and losses resulting from foreign exchange transactions and re-measurement of monetary assets and liabilities in non-functional currencies are included in other expense (income), net in the accompanying consolidated statements of operations, based on the nature of the transactions. Net foreign exchange (gains) losses recorded in the consolidated statements of operations during fiscal 2024, 2023 and 2022 were $(0.3) million, $1.0 million and $1.1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retirement benefits to substantially all employees primarily through its defined contribution retirement plans. These plans have matching and savings elements. Contributions by the Company to these retirement plans are based on profits and employees’ savings with no other funding requirements. Contributions to retirement plans are expensed as incurred. Retirement plan expense incurred in fiscal 2024, 2023 and 2022 was $2.8 million, $2.1 million, and $1.9 million, respectively. Retirement plan expenses are included in cost of revenues, research and development, and selling and administrative expenses on the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revenue by applying the five-step approach in accordance with FASB ASC Topic 606, Revenue from Contracts with Customers (“ASC 606”): (1) identification of the contract with a customer; (2) identification of the performance obligations in the contract;</w:t>
      </w:r>
    </w:p>
    <w:p>
      <w:pPr>
        <w:ind w:firstLine="8"/>
        <w:spacing w:after="0" w:line="260" w:lineRule="auto"/>
        <w:tabs>
          <w:tab w:leader="none" w:pos="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(4) allocation of the transaction price to the performance obligations in the contract; and (5) recognition of revenue when, or as, we satisfy a performance obligation. Refer to Note 3. Revenue Recognition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 and Services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sales consists primarily of materials, labor and overhead costs incurred internally and amounts incurred for contract manufacturers to produce the Company’s products, personnel and other implementation costs incurred to install the Company’s products and train customer personnel, and customer service and third party original equipment manufacturer costs to provide continuing support to customers.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the consolidated statements of operations because they are also included as a component of revenue billed to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costs were not material during fiscal 2024, 2023 and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Transactional Taxes Collected from Customers and Remitted to Government Authorities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Transactional taxes such as sales and use tax collected from customers and remitted to governmental authorities are presented on a net basis.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costs, which include costs in connection with new product development, improvement of existing products, process improvement, and product use technologies, are generally charged to operations in the period in which they are incurred. For certain software projects under development, development costs are capitalized during the period between determining technological feasibility of the product and commercial release and are included in long-term other assets on the consolidated balance sheets. The amortization of capitalized development costs begins upon commercial release, generally over three years. To date, the amount of development costs capitalized and amortized have not been 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one stock incentive plan for its employees and non-employee directors. The stock incentive plan permits the Company to grant share-based awards in the form of options, restricted stock awards and units and performance share awards and units.</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estimated grant date fair value of share-based awards is amortized over the requisite service period or vesting term. For non-qualified stock options, the Black-Scholes option pricing model is used to estimate the fair value as of the grant date. The determination of the fair value of stock option awards is affected by the Company’s stock price and assumptions regarding a number variables. These variables include the Company’s expected stock price volatility over the expected term of the awards, actual and projected employee stock option exercise behaviors, the risk-free interest rate and expected dividend yield. Due to the inherent limitations of option valuation models, including consideration of future events that are unpredictable and the estimation process utilized in determining the valuation of the share-based awards, the ultimate value realized by the Company’s employees may vary significantly from the amounts expensed in its financial statements. For restricted stock awards and units and performance share awards and units with performance conditions, the market price of the Company’s common stock on the date of the grant is used to estimate the fair value. For performance share awards and units with market conditions, the fair value is estimated using a Monte-Carlo simulation model as of the grant date. The Company recognizes forfeitures of share-based awards as they occur.</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awards with a performance condition vesting feature, share-based compensation costs are recognized when achievement of the performance conditions is considered probable. Any previously recognized compensation cost is reversed if the performance condition is not satisfied or if it is not probable that the performance conditions will be achieved. For awards with a market condition vesting feature, share-based compensation costs are recognized over the period the requisite service is rendered, regardless of when, and if ever, the market condition is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Restructuring charges represent expenses incurred in connection with certain cost reduction programs that the Company has implemented, and consists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the employee is notified, unless the employee must provide future service, in which case the benefits are expensed ratably over the future service period. The Company recognizes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All other costs related to an exit or disposal activity are expensed as incurred. Refer to Note 8. Restructuring Activities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Related Uncertainties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compute its income taxes in each federal, state, and foreign jurisdiction the Company operates. This process requires that the Company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identified are classified as long-term deferred tax assets and liabilities on the consolidated balance sheets. The Company’s judgments, assumptions, and estimates relative to the current provision for income taxes take into account current tax laws, the Company’s interpretation of current tax laws, and possible outcomes of current and future audits conducted by foreign and domestic tax authorities. Changes in tax laws or the Company’s interpretation of tax laws and the resolution of current and future tax audits could significantly impact the amounts provided for income taxes in the consolidated balance sheets and consolidated statements of operations. The Company must also assess the likelihood that deferred tax assets will be realized from future taxable income and, based on this assessment, establish a valuation allowance, if required. The Company’s determination of its valuation allowance is based upon a number of assumptions, judgments, and estimates, including forecasted earnings, future taxable income, and the relative proportions of revenue and income before taxes in the various domestic and international jurisdictions in which the Company operates. To the extent the Company establishes a valuation allowance or change the valuation allowance in a period, the change is reflected with a corresponding increase or decrease to the Company’s tax provision on the consolidated statements of operations.</w:t>
      </w:r>
    </w:p>
    <w:p>
      <w:pPr>
        <w:spacing w:after="0" w:line="13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uses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of being realized upon ultimate settlement. It is inherently difficult and subjective to estimate such amounts, as this requires the Company to determine the probability of various possible outcomes. Uncertain tax positions are re-evaluated by the Company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 Refer to Note 11. Income Taxes for further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 of Common Stock</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income per share is computed by dividing net income attributable to the Company by the weighted average number of shares of its outstanding common stock.</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21,160</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r>
      <w:tr>
        <w:trPr>
          <w:trHeight w:val="229"/>
        </w:trPr>
        <w:tc>
          <w:tcPr>
            <w:tcW w:w="6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48"/>
        </w:trPr>
        <w:tc>
          <w:tcPr>
            <w:tcW w:w="6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Contracts and customer purchase orders are used to determine the existence of an arrangement.</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the Company’s arrangements with customers contain multiple performance obligations and therefore promises to provide multiple goods and services. The Company evaluates each promised good and service in a contract to determine whether it represents a distinct performance obligation or should be accounted for as a combined performance obligation. For goods and services determined to be distinct we have concluded that they provide a benefit to the customer either on their own or together with other resources that are readily available to the customer, without having the need for significant integration or customization.</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(“field services”), extended warranty, hosted software-as-a-service (“SaaS”),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and if invoicing is ahead of revenue recognized it is classified as an unearned liability on the consolidated balance sheets.</w:t>
      </w:r>
    </w:p>
    <w:p>
      <w:pPr>
        <w:spacing w:after="0" w:line="14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Revenue recognition does not necessarily follow payment terms as there are a number of scenarios where they would be different. Recognition follows contractual terms and those vary depending on the nature of the performance obligation being satisfied. These timing differences result in contract assets and liabilities as discussed below. We assess our ability to collect from our customers based primarily on the creditworthiness and past payment history of the customer.</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2" w:lineRule="exact"/>
        <w:rPr>
          <w:sz w:val="20"/>
          <w:szCs w:val="20"/>
          <w:color w:val="auto"/>
        </w:rPr>
      </w:pPr>
    </w:p>
    <w:p>
      <w:pPr>
        <w:ind w:right="980" w:firstLine="486"/>
        <w:spacing w:after="0" w:line="438" w:lineRule="auto"/>
        <w:rPr>
          <w:sz w:val="20"/>
          <w:szCs w:val="20"/>
          <w:color w:val="auto"/>
        </w:rPr>
      </w:pPr>
      <w:r>
        <w:rPr>
          <w:rFonts w:ascii="Times New Roman" w:cs="Times New Roman" w:eastAsia="Times New Roman" w:hAnsi="Times New Roman"/>
          <w:sz w:val="18"/>
          <w:szCs w:val="18"/>
          <w:color w:val="auto"/>
        </w:rPr>
        <w:t xml:space="preserve">We present transactional taxes such as sales and use tax collected from customers and remitted to government authorities on a net basis. </w:t>
      </w:r>
      <w:r>
        <w:rPr>
          <w:rFonts w:ascii="Times New Roman" w:cs="Times New Roman" w:eastAsia="Times New Roman" w:hAnsi="Times New Roman"/>
          <w:sz w:val="18"/>
          <w:szCs w:val="18"/>
          <w:b w:val="1"/>
          <w:bCs w:val="1"/>
          <w:i w:val="1"/>
          <w:iCs w:val="1"/>
          <w:color w:val="auto"/>
        </w:rPr>
        <w:t>Bill-and-Hold Sales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customer arrangements consist of bill-and-hold characteristics under which control has been transferred to the customer, while we retain physical possession of the product. We evaluate bill-and-hold arrangement criteria to determine when the customer has obtained control. Once control has been obtained by the customer, they can direct or determine the use of the bill-and-hold inventory while we retain physical possession of the product until it is installed at a customer site at a point in time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Stand-alone selling price is the price at which an entity would sell a good or service on a stand-alone (or separate) basis at contract inception. Under the model, the observable price of a good or service sold separately provides the best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evidence of stand-alone selling price. However, in certain situations, stand-alone selling prices will not be readily observable and the entity must estimate the stand-alone selling price.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When allocating on a relative stand-alone selling price basis, any discount provided in the contract is allocated proportionately to all of the performance obligations in the contract.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assessed the treatment of costs to obtain or fulfill a contract with a customer.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 We have not identified any impairments during the periods presented.</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elected the practical expedient to expense sales commissions as incurred when the amortization period of the related asset is one year or less. These costs are recorded as selling and administrative expense and included in the consolidated balance sheet as accrued expenses until paid. Amortization expense was not material for fiscal 2024, 2023 and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100,911</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57,170</w:t>
            </w: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commissions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r>
      <w:tr>
        <w:trPr>
          <w:trHeight w:val="234"/>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r>
    </w:tbl>
    <w:p>
      <w:pPr>
        <w:spacing w:after="0" w:line="23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28, 2024, the Company reported $66.3 million in advance payments and unearned revenue and long-term unearned revenue, of which approximately 75% is expected to be recognized as revenue in the next twelve months and the remainder thereafter. Approximately $34.1 million and $47.2 million respectively, of revenue was recognized during fiscal 2024 and 2023 that was included in advance payments and unearned revenue at the beginning of each reporting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elect the practical consideration to exclude performance obligations that relate to contracts with original expected durations of one year or less. As our product purchase orders are generally delivered within one year or less and our maintenance and support service contracts can be terminated without substantive termination penalties resulting in contracts with less than one year of duration, these performance obligations have been excluded from the remaining performance obligation amounts. The aggregate amount of transaction price allocated to the remaining unsatisfied performance obligations (or partially unsatisfied) was approximately $158.5 million at June 28, 2024 relating to our long-term field service projects. Of this amount, we expect to recognize approximately 50% as revenue during fiscal 2025, with the remaining amount to be recognized as revenue beyond 12 months.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globally. Operating lease right-of-use assets and lease liabilities are recognized with initial lease terms greater than one year. Leases with an initial term of 12 months or less are not recognized on the consolidated balance sheets. Lease expense is recognized on a straight-line basis over the lease term.</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lease information is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34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20" w:type="dxa"/>
            <w:vAlign w:val="bottom"/>
            <w:tcBorders>
              <w:bottom w:val="single" w:sz="8" w:color="auto"/>
            </w:tcBorders>
          </w:tcPr>
          <w:p>
            <w:pPr>
              <w:spacing w:after="0"/>
              <w:rPr>
                <w:sz w:val="20"/>
                <w:szCs w:val="20"/>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for weighted-average)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years</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944</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As of June 28, 2024, future minimum lease payments under all non-cancelable operating leases with an initial term greater than one year is as</w:t>
            </w:r>
          </w:p>
        </w:tc>
        <w:tc>
          <w:tcPr>
            <w:tcW w:w="0" w:type="dxa"/>
            <w:vAlign w:val="bottom"/>
          </w:tcPr>
          <w:p>
            <w:pPr>
              <w:spacing w:after="0"/>
              <w:rPr>
                <w:sz w:val="1"/>
                <w:szCs w:val="1"/>
                <w:color w:val="auto"/>
              </w:rPr>
            </w:pP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 (in thousands):</w:t>
            </w: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9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long-term other assets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101,630</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Changes to the Company’s allowance for expected credit losses was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to (credits from) cost and expense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28, 2024</w:t>
            </w:r>
          </w:p>
        </w:tc>
        <w:tc>
          <w:tcPr>
            <w:tcW w:w="24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4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fiscal 2024, 2023 and 2022 were classified in cost of product sales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charges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6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r>
      <w:tr>
        <w:trPr>
          <w:trHeight w:val="223"/>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management initiated the sale of the Company’s property located in New Zealand. As of June 28, 2024, the aggregate carrying value of the assets held for sale was $2.7 million. The Company completed the sale of the property in August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w:t>
            </w:r>
          </w:p>
        </w:tc>
      </w:tr>
      <w:tr>
        <w:trPr>
          <w:trHeight w:val="223"/>
        </w:trPr>
        <w:tc>
          <w:tcPr>
            <w:tcW w:w="2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70,238</w:t>
            </w: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w:t>
            </w:r>
          </w:p>
        </w:tc>
      </w:tr>
      <w:tr>
        <w:trPr>
          <w:trHeight w:val="223"/>
        </w:trPr>
        <w:tc>
          <w:tcPr>
            <w:tcW w:w="20" w:type="dxa"/>
            <w:vAlign w:val="bottom"/>
          </w:tcPr>
          <w:p>
            <w:pPr>
              <w:spacing w:after="0"/>
              <w:rPr>
                <w:sz w:val="19"/>
                <w:szCs w:val="19"/>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$4.1 million and $0.4 million of assets in progress which have not been placed in service as of June 28, 2024 and June 30, 2023, respectively.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2024, $0.2 million of land, $4.7 million of buildings and improvements, and $(2.2) million of accumulated depreciation, were reclassified from property, plant and equipment, net to assets held for sale. Depreciation expense related to property, plant and equipment was $4.0 million, $5.5 million and $4.5 million in fiscal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23"/>
        </w:trPr>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24,442</w:t>
            </w:r>
          </w:p>
        </w:tc>
      </w:tr>
      <w:tr>
        <w:trPr>
          <w:trHeight w:val="21"/>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accrued warranty liability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provision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Consumption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28, 2024</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4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$7.4 million and $7.4 million in long-term unearned revenue as of June 28, 2024 and June 30, 2023,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18"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fair values and valuation input levels of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2024 and June 30, 2023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44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3,706</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2024 and June 30, 2023, the money market funds were valued at $1.00 net asset value per share.</w:t>
      </w:r>
    </w:p>
    <w:p>
      <w:pPr>
        <w:spacing w:after="0" w:line="153"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7"/>
          <w:szCs w:val="17"/>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w:t>
      </w:r>
    </w:p>
    <w:p>
      <w:pPr>
        <w:spacing w:after="0" w:line="1" w:lineRule="exact"/>
        <w:rPr>
          <w:sz w:val="20"/>
          <w:szCs w:val="20"/>
          <w:color w:val="auto"/>
        </w:rPr>
      </w:pPr>
    </w:p>
    <w:p>
      <w:pPr>
        <w:ind w:firstLine="8"/>
        <w:spacing w:after="0" w:line="260" w:lineRule="auto"/>
        <w:tabs>
          <w:tab w:leader="none" w:pos="1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bank certificates of deposit approximates their fair value. The Company did not have any recurring assets or liabilities that were valued using significant unobservable inputs.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Facility and Debt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Refer to Note 12. Acquisitions for further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28, 2024, the available credit under the Revolver was $35.1 million, reflecting the available limit of $40.0 million less outstanding letters of credit of $4.9 million. The Company borrowed $33.2 million and repaid $33.2 million against the Revolver in fiscal 2024. As of June 28, 2024, the Company had $48.8 million outstanding under its Term Loan and no borrowings under its Revolver.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June 28, 2024:</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w:t>
            </w:r>
          </w:p>
        </w:tc>
      </w:tr>
      <w:tr>
        <w:trPr>
          <w:trHeight w:val="229"/>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9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48,350</w:t>
            </w:r>
          </w:p>
        </w:tc>
      </w:tr>
      <w:tr>
        <w:trPr>
          <w:trHeight w:val="229"/>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June 28, 2024, the applicable margin on Adjusted Term SOFR and Base Rate borrowings was 2.5% and 1.5%, respectively. The effective rate of interest on the outstanding Term Loan borrowings as of June 28, 2024 was 7.9%.</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June 28, 2024, the Company was in compliance with all financial covenants contained in the Credit Facility.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28, 2024, scheduled maturities of outstanding long-term debt are as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30"/>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36,250</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2023, the Company and Silicon Valley Bank (“SVB”) terminated the Third Amended and Restated Loan and Security Agreement dated June 29, 2018, and as amended May 17, 2021 (the “SVB Credit Facility”), by and between the Company, as borrower, and SVB, as lender.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restructuring related activities during fiscal 2024, 2023 and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Employee Severance</w:t>
            </w:r>
          </w:p>
        </w:tc>
        <w:tc>
          <w:tcPr>
            <w:tcW w:w="120" w:type="dxa"/>
            <w:vAlign w:val="bottom"/>
          </w:tcPr>
          <w:p>
            <w:pPr>
              <w:spacing w:after="0"/>
              <w:rPr>
                <w:sz w:val="18"/>
                <w:szCs w:val="18"/>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 and Other</w:t>
            </w: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21"/>
                <w:szCs w:val="21"/>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Benefits</w:t>
            </w:r>
          </w:p>
        </w:tc>
        <w:tc>
          <w:tcPr>
            <w:tcW w:w="12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2, 2021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(reversals),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1, 2022</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28, 2024, the accrued restructuring balance of $1.7 million was included in other current liabilities on the consolidated balance sheets. Included in the above were positions identified for termination that have not been executed from a restructuring perspective. The other activities primarily represent the impact of foreign currency movement.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fiscal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Fiscal Years’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Activities under the prior fiscal years’ plans primarily included reductions in workforce across the Company associated with the acquisition of Redline (as defined below) and certain of the Company’s operations outside the United States. Payments related to the accrued restructuring balance for the prior fiscal years’ plans are complete.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May 2018, the Company’s Board of Directors authorized a stock repurchase program to purchase up to $7.5 million of the Company’s common stock. During the second quarter of fiscal 2022, the May 2018 stock repurchase program was exhausted. In November 2021, the Company’s Board of Directors authorized a stock repurchase program to purchase up to $10.0 million of the Company’s common stock. As of June 28, 2024, $6.9 million remained available for repurchase under the November 2021 stock repurchase program. Repurchased shares are recorded as treasury stock and are not formally retired.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 in fiscal 2024, 2023 and 2022:</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40" w:type="dxa"/>
            <w:vAlign w:val="bottom"/>
          </w:tcPr>
          <w:p>
            <w:pPr>
              <w:spacing w:after="0"/>
              <w:rPr>
                <w:sz w:val="16"/>
                <w:szCs w:val="16"/>
                <w:color w:val="auto"/>
              </w:rPr>
            </w:pPr>
          </w:p>
        </w:tc>
        <w:tc>
          <w:tcPr>
            <w:tcW w:w="16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Aggregate Purchase</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0" w:type="dxa"/>
            <w:vAlign w:val="bottom"/>
          </w:tcPr>
          <w:p>
            <w:pPr>
              <w:spacing w:after="0"/>
              <w:rPr>
                <w:sz w:val="18"/>
                <w:szCs w:val="18"/>
                <w:color w:val="auto"/>
              </w:rPr>
            </w:pPr>
          </w:p>
        </w:tc>
        <w:tc>
          <w:tcPr>
            <w:tcW w:w="16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ind w:right="61"/>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2023</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2018, the Company’s stockholders approved the 2018 Incentive Plan (the “2018 Plan”). The 2018 Plan permits the Company to grant share-based awards in the form of options, stock appreciation rights, restricted stock awards and units (“restricted stock”) and performance share awards and units (“performance shares”) to the Company’s employees and non-employee directors. The 2018 Plan replaced the 2007 Plan as the Company’s primary long-term incentive program.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closing market value of the Company’s common stock on the date of grant. Options granted to employees vest annually over three years and expire seven years from the date of grant. Restricted stock granted to employees vest annually over three years from the date of grant. Restricted stock granted to non-employee directors vest annually on the day before the annual stockholders’ meeting. Performance shares granted to employees are subject to a three-year cliff vesting period from the date of grant, subject to the achievement of predetermined financial performance and market condition criteria. The vesting of share-based awards granted to the Company’s employees and non-employee directors are generally subject to continued service through the vesting 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 shares of the Company’s common stock are issued to employees upon the exercise of options, vesting of restricted stock, or vesting of performance shares. All awards that are canceled prior to vesting or expire unexercised are returned to the approved pool of reserved shares and made available for future grants under the 2018 Plan. As of June 28, 2024, 1,240,986 shares remain available for grant under the 2018 Plan.</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2020, the Company’s Board of Directors authorized and declared a dividend distribution of one right (a “Right”) for each outstanding share of common stock, par value $0.01 per share, to the Company’s stockholders of record as of the close of business on March 3, 2020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the Amended and Restated Tax Benefit Preservation Plan (the “Plan”), dated as of August 27, 2020, and amended as of February 28, 2023, between the Company and Computershare Inc., as rights agent. By adopting the Plan, the Company is helping to preserve the value of certain deferred tax benefits, including those generated by net operating losses (collectively, the “Tax Benefits”), which could be lost in the event of an “ownership change” as defined under Section 382 of the U.S. tax code. The amended Plan was approved at the Company’s Annual Meeting of Stockholders held in November 2023, which extended the final expiration date of the Plan until March 3, 2026.</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2023, the Company’s Board of Directors adopted certain amendments to Aviat’s Amended and Restated Certificate of Incorporation, as amended (the “Charter Amendments”) The Charter Amendments are designed to preserve the Tax Benefits by restricting certain transfers of the Company’s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compensation expense for share-based awards included in the consolidated statements of operations for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Expense Category:</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 and services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By Type of Award: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3"/>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174"/>
        </w:trPr>
        <w:tc>
          <w:tcPr>
            <w:tcW w:w="7500" w:type="dxa"/>
            <w:vAlign w:val="bottom"/>
          </w:tcPr>
          <w:p>
            <w:pPr>
              <w:spacing w:after="0"/>
              <w:rPr>
                <w:sz w:val="15"/>
                <w:szCs w:val="15"/>
                <w:color w:val="auto"/>
              </w:rPr>
            </w:pP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Unamortized Expense</w:t>
            </w:r>
          </w:p>
        </w:tc>
        <w:tc>
          <w:tcPr>
            <w:tcW w:w="120" w:type="dxa"/>
            <w:vAlign w:val="bottom"/>
          </w:tcPr>
          <w:p>
            <w:pPr>
              <w:spacing w:after="0"/>
              <w:rPr>
                <w:sz w:val="15"/>
                <w:szCs w:val="15"/>
                <w:color w:val="auto"/>
              </w:rPr>
            </w:pPr>
          </w:p>
        </w:tc>
        <w:tc>
          <w:tcPr>
            <w:tcW w:w="1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7500" w:type="dxa"/>
            <w:vAlign w:val="bottom"/>
          </w:tcPr>
          <w:p>
            <w:pPr>
              <w:spacing w:after="0"/>
              <w:rPr>
                <w:sz w:val="20"/>
                <w:szCs w:val="20"/>
                <w:color w:val="auto"/>
              </w:rPr>
            </w:pPr>
          </w:p>
        </w:tc>
        <w:tc>
          <w:tcPr>
            <w:tcW w:w="180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Recognition Period</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23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2,185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3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5,060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1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9,265</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option activity during fiscal 2024 is as follows: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16"/>
                <w:szCs w:val="16"/>
                <w:color w:val="auto"/>
              </w:rPr>
            </w:pPr>
          </w:p>
        </w:tc>
        <w:tc>
          <w:tcPr>
            <w:tcW w:w="11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4"/>
                <w:szCs w:val="14"/>
                <w:color w:val="auto"/>
              </w:rPr>
            </w:pPr>
          </w:p>
        </w:tc>
        <w:tc>
          <w:tcPr>
            <w:tcW w:w="118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00" w:type="dxa"/>
            <w:vAlign w:val="bottom"/>
          </w:tcPr>
          <w:p>
            <w:pPr>
              <w:spacing w:after="0"/>
              <w:rPr>
                <w:sz w:val="18"/>
                <w:szCs w:val="18"/>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1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(Years)</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June 30,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June 28,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June 28,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28,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or the aggregate difference between the closing price of the Company’s common stock on June 28, 2024 of $28.69, and the exercise price for in-the-money options that would have been received by the optionees if all options had been exercised on June 28, 2024.</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related to stock options is summarized below:</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was estimated using the Black-Scholes option pricing model on the date of grant. A summary of the weighted-average significant assumptions used in the Black-Scholes valuation model is as follows:</w:t>
      </w:r>
    </w:p>
    <w:p>
      <w:pPr>
        <w:spacing w:after="0" w:line="25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3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options outstanding and exercisable as of June 28, 2024:</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6"/>
                <w:szCs w:val="16"/>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30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Actual Range of Exercise Prices</w:t>
            </w: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40" w:type="dxa"/>
            <w:vAlign w:val="bottom"/>
            <w:gridSpan w:val="3"/>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gridSpan w:val="4"/>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0" w:type="dxa"/>
            <w:vAlign w:val="bottom"/>
          </w:tcPr>
          <w:p>
            <w:pPr>
              <w:spacing w:after="0"/>
              <w:rPr>
                <w:sz w:val="1"/>
                <w:szCs w:val="1"/>
                <w:color w:val="auto"/>
              </w:rPr>
            </w:pPr>
          </w:p>
        </w:tc>
      </w:tr>
      <w:tr>
        <w:trPr>
          <w:trHeight w:val="190"/>
        </w:trPr>
        <w:tc>
          <w:tcPr>
            <w:tcW w:w="1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summary of the restricted stock activity during fiscal 2024 is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0"/>
        </w:trPr>
        <w:tc>
          <w:tcPr>
            <w:tcW w:w="7540" w:type="dxa"/>
            <w:vAlign w:val="bottom"/>
          </w:tcPr>
          <w:p>
            <w:pPr>
              <w:spacing w:after="0"/>
              <w:rPr>
                <w:sz w:val="15"/>
                <w:szCs w:val="15"/>
                <w:color w:val="auto"/>
              </w:rPr>
            </w:pPr>
          </w:p>
        </w:tc>
        <w:tc>
          <w:tcPr>
            <w:tcW w:w="1340" w:type="dxa"/>
            <w:vAlign w:val="bottom"/>
            <w:vMerge w:val="restart"/>
          </w:tcPr>
          <w:p>
            <w:pPr>
              <w:jc w:val="center"/>
              <w:ind w:left="379"/>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as of June 30,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29"/>
        </w:trPr>
        <w:tc>
          <w:tcPr>
            <w:tcW w:w="8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8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as of June 28,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stock grant is based on the closing price of the Company’s common stock on the date of grant. The total grant date fair value of restricted stock that vested during fiscal 2024, 2023 and 2022 was $4.1 million, $3.4 million and $0.5 million,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summary of the performance shares activity during fiscal 2024 is as follows: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7540" w:type="dxa"/>
            <w:vAlign w:val="bottom"/>
          </w:tcPr>
          <w:p>
            <w:pPr>
              <w:spacing w:after="0"/>
              <w:rPr>
                <w:sz w:val="15"/>
                <w:szCs w:val="15"/>
                <w:color w:val="auto"/>
              </w:rPr>
            </w:pPr>
          </w:p>
        </w:tc>
        <w:tc>
          <w:tcPr>
            <w:tcW w:w="1340" w:type="dxa"/>
            <w:vAlign w:val="bottom"/>
            <w:vMerge w:val="restart"/>
          </w:tcPr>
          <w:p>
            <w:pPr>
              <w:jc w:val="center"/>
              <w:ind w:left="379"/>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shares outstanding as of June 30,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29"/>
        </w:trPr>
        <w:tc>
          <w:tcPr>
            <w:tcW w:w="8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8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shares outstanding as of June 28,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performance shares with market condition terms was estimated using the Monte-Carlo simulation model. A summary of the significant assumptions is as follows:</w:t>
      </w:r>
    </w:p>
    <w:p>
      <w:pPr>
        <w:spacing w:after="0" w:line="7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36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3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performance shares that vested during fiscal 2024, 2023 and 2022 was $1.8 million, $1.0 million and $0.4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a range of wireless networking and access networking products, solutions and services. Aviat conducts business globally and its sales and support activities are managed on a geographic basis. The Company’s Chief Executive Officer (“CEO”) is the Chief Operating Decision Maker (the “CODM”). The CODM manages the business primarily by function globally and reviews financial information on a consolidated basis, accompanied by disaggregated information about revenues by geographic region, for purposes of allocating resources and evaluating financial performance. The profitability of geographic regions is not a determining factor in allocating resources and the CODM does not evaluate profitability below the level of the consolidated company.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customers accept delivery of products and services. Revenue by region for fiscal 2024, 2023 and 2022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Middle East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42,658</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country comprising more than 10% of total revenue for fiscal 2024, 2023 and 2022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198,824</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Long-lived assets, consisting primarily of net property, plant and equipment and operating lease right-of-use assets, by geographic areas based on physical location as of June 28, 2024 and June 30, 2023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(loss) before provision for income taxes during fiscal 2024, 2023 and 2022 consisted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31,923</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8"/>
              </w:rPr>
              <w:t>(1,488)</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30,435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(benefit from) income taxes for fiscal 2024, 2023 and 2022 were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56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5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differed from the amount computed by applying the federal statutory rate of 21%, to the Company’s income before provision for income taxes as follows: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statutory rate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inclusions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flow-through entities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taxes, net of U.S. federal tax benefit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taxed at rates different than the U.S. statutory rate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 generated and expired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Return-to-provision/Deferred true-up adjustments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restructuring and integration</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was $6.1 million for fiscal 2024, $11.1 million for fiscal 2023 and $9.3 million for fiscal 2022. The Company’s tax expense for fiscal 2024 was primarily due to tax expense related to U.S. and profitable foreign subsidiaries, partially offset by Canada valuation allowance release. The Company’s tax expense for fiscal 2023 was primarily due to tax expense related to U.S. and profitable foreign subsidiaries, including deferred tax expense associated with the acquisition of Redline (as defined below) in July 2022 and the subsequent restructuring and integration impact. Refer to Note 12. Acquisitions for further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exchange gain/loss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101,284</w:t>
            </w:r>
          </w:p>
        </w:tc>
      </w:tr>
      <w:tr>
        <w:trPr>
          <w:trHeight w:val="22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125,008</w:t>
            </w:r>
          </w:p>
        </w:tc>
      </w:tr>
      <w:tr>
        <w:trPr>
          <w:trHeight w:val="229"/>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(37,095)</w:t>
            </w:r>
          </w:p>
        </w:tc>
      </w:tr>
      <w:tr>
        <w:trPr>
          <w:trHeight w:val="22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87,913</w:t>
            </w: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undistributed earnings reserve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on the consolidated balance sheets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8"/>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valuation allowance related to deferred income taxes, as reflected on the consolidated balance sheets, was $34.5 million as of June 28, 2024 and $37.1 million as of June 30, 2023. The change in valuation allowance for the fiscal years ended June 28, 2024 and June 30, 2023 was a decrease of $2.6 million and a decrease of $0.4 million, respectively.</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the valuation allowance in fiscal 2024 was primarily due to the release of certain foreign valuation allowances. The decrease in the valuation allowance in fiscal 2023 was primarily due to the release of certain U.S. federal, state, and foreign valuation allowances, partially offset by losses in tax jurisdictions in which the Company cannot recognize tax benefits. As of June 28, 2024, the Company maintains a valuation allowance of $0.5 million on certain U.S. federal and state deferred tax assets that the Company believes is not more likely than not to be realized in future periods.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Tax loss and credit carryforwards as of June 28, 2024 have expiration dates ranging between one year and no expiration in certain instances. The amounts of U.S. federal tax loss carryforwards as of June 28, 2024 was $280.6 million and begin to expire in fiscal 2028. The amount of U.S. federal and state tax credit carryforwards as of June 28, 2024 was $5.6 million, and certain credits begin to expire in fiscal 2025. The amount of foreign tax loss carryforwards as of June 28, 2024 was $178.9 million and certain losses begin to expire in fiscal 2025. The amount of foreign tax credit carryforwards as of June 28, 2024 was $3.2 million, and certain credits will begin to expire in fiscal 2026.</w:t>
      </w:r>
    </w:p>
    <w:p>
      <w:pPr>
        <w:spacing w:after="0" w:line="1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flow-through method to account for investment tax credits generated on eligible scientific research and development expenditures. Under this method, the investment tax credits are recognized as a benefit to income tax in the year they are generated.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United States income taxes have not been provided on basis differences in foreign subsidiaries of $13.3 million as of June 28, 2024 because of the Company’s intention to reinvest these earnings indefinitely. Additionally, no foreign withholding taxes, federal or state taxes have been provided if these unremitted earnings of the Company’s foreign subsidiaries were distributed, as such amounts are considered permanently reinvested. It is not practicable to estimate the additional income taxes, including applicable foreign withholding taxes, that would be due upon the repatriation of these earnings.</w:t>
      </w:r>
    </w:p>
    <w:p>
      <w:pPr>
        <w:sectPr>
          <w:pgSz w:w="11900" w:h="16838" w:orient="portrait"/>
          <w:cols w:equalWidth="0" w:num="1">
            <w:col w:w="11240"/>
          </w:cols>
          <w:pgMar w:left="320" w:top="1440" w:right="339" w:bottom="1440" w:gutter="0" w:footer="0" w:header="0"/>
        </w:sectPr>
      </w:pP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unrecognized tax benefit activity for fiscal 2024, 2023 and 2022 was as follows: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30,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28,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20" w:hanging="1218"/>
        <w:spacing w:after="0"/>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17,255</w:t>
      </w:r>
    </w:p>
    <w:p>
      <w:pPr>
        <w:spacing w:after="0" w:line="27"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704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139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17,707</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770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(457)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(1,953)</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16,086</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971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1398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1" w:lineRule="exact"/>
        <w:rPr>
          <w:sz w:val="20"/>
          <w:szCs w:val="20"/>
          <w:color w:val="auto"/>
        </w:rPr>
      </w:pPr>
    </w:p>
    <w:p>
      <w:pPr>
        <w:ind w:left="1220" w:hanging="1218"/>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98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1398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740" w:space="720"/>
            <w:col w:w="1780"/>
          </w:cols>
          <w:pgMar w:left="320" w:top="1440" w:right="339" w:bottom="1440" w:gutter="0" w:footer="0" w:header="0"/>
          <w:type w:val="continuous"/>
        </w:sectPr>
      </w:pPr>
    </w:p>
    <w:p>
      <w:pPr>
        <w:spacing w:after="0" w:line="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28, 2024, the Company had unrecognized tax benefits of $16.1 million for various federal, foreign, and state income tax matters, compared to $16.1 million as of June 30, 2023. The Company’s total unrecognized tax benefits that, if recognized, would affect its effective tax rate was $7.4 million as of June 28, 2024. These unrecognized tax benefits are presented on the accompanying consolidated balance sheets net of the tax effects of net operating loss carryforwards.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unrecognized tax benefits as part of its provision for income taxes. The interest accrued was $0.7 million as of June 28, 2024. An immaterial amount of penalties have been accrued as of June 28, 2024.</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was an immaterial change in the Company’s unrecognized tax benefit for tax positions in prior periods for fiscal 2024 related to settlements with tax authorities in the table above.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date of acquisition.</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acquisition date. Aggregate consideration transferred at closing was approximately $54.5 million, which is subject to certain post-closing adjustments. As of June 28, 2024, the Company recorded accruals of approximately $19.9 million in estimated additional cash consideration, which is included in other current liabilities on the consolidated balance sheets. The additional consideration is primarily related to the settlement of the post-closing working capital adjustment, and is expected to be transferred to NEC in the first half of fiscal 2025. The Company funded the cash portion of the consideration with Term Loan borrowings under its Credit Facility. Refer to Note 7. Credit Facility and Debt for further information.</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NEC Transaction was accounted for as a business combination using the acquisition method of accounting. The Company is in the process of obtaining final independent third-party valuations of certain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Acquisition-related costs were expensed as incurred and are included in selling and administrative expenses in the consolidated statements of operations. The Company incurred acquisition-related costs of $8.2 million related to the NEC Transaction during fiscal 2024.</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preliminary purchase price allocation is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r>
      <w:tr>
        <w:trPr>
          <w:trHeight w:val="196"/>
        </w:trPr>
        <w:tc>
          <w:tcPr>
            <w:tcW w:w="7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9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9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preliminary purchase price allocation is subject to adjustment based on the Company obtaining final independent third-party valuations, determining fair value and final allocations of purchase price to the identifiable assets acquired and liabilities assumed, and determining the final consideration, including adjustments related to settlement of the final post-closing working capital adjustment.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and operating loss associated with the NEC Transaction included in the consolidated statements of operations from the acquisition date to the period ended June 28, 2024 were $54.9 million and $(1.0) million, respectively.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information has been presented as if the NEC Transaction had occurred at the beginning of fiscal 2023 and includes certain pro forma adjustments for interest expense, depreciation and amortization expense, the fair value of acquired inventory, and acquisition-related costs, net of income tax.</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6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530,891</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2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Fiscal 2023 unaudited supplemental pro forma earnings were adjusted to include $8.2 million of acquisition-related costs incurred in fiscal 2024. There were no other material nonrecurring adjustments. The unaudited supplemental pro forma information presented above is for informational purposes only and is not necessarily indicative of the operating results that would have occurred if the NEC Transaction had occurred at the beginning of fiscal 2023, nor is it necessarily indicative of future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 (“Redline”), a leading provider of mission-critical data infrastructure, for a purchase price of $20.4 million. Cash acquired as part of the all-cash acquisition was $4.6 million for total net consideration of $15.8 million. The acquisition was accounted for as a business combination using the acquisition method of accounting. The assets acquired and the liabilities assumed have been recorded at their respective fair values as of the acquisition date. The recognized goodwill is attributable to the workforce of the acquired business and expected synergies. The goodwill from this acquisition is expected to be deductible for tax purposes. Acquisition-related costs were expensed as incurred and are included in selling and administrative expenses in the consolidated statements of operations.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final purchase price allocation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 in Years</w:t>
            </w:r>
          </w:p>
        </w:tc>
      </w:tr>
      <w:tr>
        <w:trPr>
          <w:trHeight w:val="196"/>
        </w:trPr>
        <w:tc>
          <w:tcPr>
            <w:tcW w:w="7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(i) finished products that it has ordered,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86" w:lineRule="exact"/>
        <w:rPr>
          <w:sz w:val="20"/>
          <w:szCs w:val="20"/>
          <w:color w:val="auto"/>
        </w:rPr>
      </w:pPr>
    </w:p>
    <w:p>
      <w:pPr>
        <w:jc w:val="both"/>
        <w:ind w:firstLine="8"/>
        <w:spacing w:after="0" w:line="261"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products that it requested be held as safety stock, and (iii)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28, 2024, the Company had outstanding purchase obligations with its suppliers or contract manufacturers of approximately $83.7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had purchase obligations of approximately $5.1 million associated with software as a service and software maintenance support.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June 28, 2024,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28, 2024, the Company had commercial commitments outstanding of $18.3 million, that were not recorded on the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30"/>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Bonds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48"/>
        </w:trPr>
        <w:tc>
          <w:tcPr>
            <w:tcW w:w="9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June 28, 2024,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June 28, 2024, the Company had not recorded any liabilities related to these indemnifications.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No subsequent hearing date has been scheduled as of June 28, 2024.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4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2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48"/>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$3.1 million increase in goodwill during fiscal 2024 is associated with the NEC Transaction as described in Note 12. Acquisitions. The Company performs its annual goodwill impairment test on the first day of its fourth fiscal quarter. The fiscal 2024 annual goodwill impairment test did not result in an impairment.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360" w:type="dxa"/>
            <w:vAlign w:val="bottom"/>
          </w:tcPr>
          <w:p>
            <w:pPr>
              <w:spacing w:after="0"/>
              <w:rPr>
                <w:sz w:val="20"/>
                <w:szCs w:val="20"/>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14 — 15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1"/>
        </w:trPr>
        <w:tc>
          <w:tcPr>
            <w:tcW w:w="5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$5.6 million increase in finite-lived intangible assets during fiscal 2024 is associated with the NEC Transaction as described in Note 12. Acquisitions. Amortization of finite-lived intangibles for fiscal 2024 and 2023 was $1.0 million and $0.7 million, respectively, and is included in selling and administrative expenses. There was no amortization expense in fiscal 2022. There were no impairment charges recorded for fiscal 2024, 2023 and 2022.</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28, 2024, the estimated future amortization expense of finite-lived intangible assets is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9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30, 2023 (the “Closing Date”), the Company completed the NEC Transaction. Refer to Note 12.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will have the right to nominate a director to the Company’s Board of Directors from the Closing Date and for a period of two years thereafter. As of June 28, 2024, NEC held approximately 5.8% of the Company’s outstanding common stock.</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related party activity between the Company and NEC during fiscal 2024 is as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7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received</w:t>
            </w:r>
          </w:p>
        </w:tc>
        <w:tc>
          <w:tcPr>
            <w:tcW w:w="37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services received</w:t>
            </w:r>
          </w:p>
        </w:tc>
        <w:tc>
          <w:tcPr>
            <w:tcW w:w="3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inventories</w:t>
            </w:r>
          </w:p>
        </w:tc>
        <w:tc>
          <w:tcPr>
            <w:tcW w:w="3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28, 2024, the Company’s outstanding related party balances with NEC included in the consolidated balance sheets are as follows: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Revisions to Prior Period Consolidated Financial Statements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 The Company and Summary of Significant Accounting Policies, subsequent to the issuance of the consolidated financial statements and related disclosures for the fiscal year ended June 30, 2023, the Company identified certain errors in its previously issued consolidated financial statements.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identified an error related to estimated total contract costs and progress to completion for an over-time arrangement. The effect of the error resulted in revenues related to services being overstated by $1.4 million for the year ended June 30, 2023. This error also impacted the previously issued quarterly financial statements for fiscal 2024. The Company also identified that it had inappropriately recorded revenue and costs of sales in fiscal 2023 related to product sales recognized at a point-in-time for which control had not been transferred to the customer. This resulted in an overstatement of revenue related to product sales of $0.7 million and cost of revenues related to product sales of $0.4 million for the year ended June 30, 2023.</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for any of the prior reporting periods in which they occurred, but that correcting the error in the current reporting period would be material to the Company’s results of operations for fiscal 2024. As a result, the Company has restated the prior period financial statements and related disclosures for fiscal 2023 to correct the errors. The Company will also correct previously issued quarterly financial statements and related disclosures for such immaterial errors in future filings, as applicable (see “Part II, Item 9B. Other Information” below for additional information). A summary of the corrections to the impacted financial statement line items in the Company’s previously issued Consolidated Statements of Operations, Comprehensive Income, Equity and Cash Flows for the twelve months ended June 30, 2023 and Consolidated Balance Sheets as of June 30, 2023 is provided below.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10"/>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Fiscal Year Ended June 30, 2023</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60" w:type="dxa"/>
            <w:vAlign w:val="bottom"/>
          </w:tcPr>
          <w:p>
            <w:pPr>
              <w:spacing w:after="0"/>
              <w:rPr>
                <w:sz w:val="14"/>
                <w:szCs w:val="14"/>
                <w:color w:val="auto"/>
              </w:rPr>
            </w:pPr>
          </w:p>
        </w:tc>
        <w:tc>
          <w:tcPr>
            <w:tcW w:w="166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4"/>
                <w:szCs w:val="14"/>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Pr>
          <w:p>
            <w:pPr>
              <w:spacing w:after="0"/>
              <w:rPr>
                <w:sz w:val="21"/>
                <w:szCs w:val="21"/>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60" w:type="dxa"/>
            <w:vAlign w:val="bottom"/>
          </w:tcPr>
          <w:p>
            <w:pPr>
              <w:spacing w:after="0"/>
              <w:rPr>
                <w:sz w:val="21"/>
                <w:szCs w:val="21"/>
                <w:color w:val="auto"/>
              </w:rPr>
            </w:pPr>
          </w:p>
        </w:tc>
        <w:tc>
          <w:tcPr>
            <w:tcW w:w="166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238,579</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344,433</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150,637</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222,051</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w:t>
            </w:r>
          </w:p>
        </w:tc>
        <w:tc>
          <w:tcPr>
            <w:tcW w:w="0" w:type="dxa"/>
            <w:vAlign w:val="bottom"/>
          </w:tcPr>
          <w:p>
            <w:pPr>
              <w:spacing w:after="0"/>
              <w:rPr>
                <w:sz w:val="1"/>
                <w:szCs w:val="1"/>
                <w:color w:val="auto"/>
              </w:rPr>
            </w:pPr>
          </w:p>
        </w:tc>
      </w:tr>
      <w:tr>
        <w:trPr>
          <w:trHeight w:val="20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97,762</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0" w:type="dxa"/>
            <w:vAlign w:val="bottom"/>
          </w:tcPr>
          <w:p>
            <w:pPr>
              <w:spacing w:after="0"/>
              <w:rPr>
                <w:sz w:val="1"/>
                <w:szCs w:val="1"/>
                <w:color w:val="auto"/>
              </w:rPr>
            </w:pPr>
          </w:p>
        </w:tc>
      </w:tr>
      <w:tr>
        <w:trPr>
          <w:trHeight w:val="196"/>
        </w:trPr>
        <w:tc>
          <w:tcPr>
            <w:tcW w:w="56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Aviat Networks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0" w:type="dxa"/>
            <w:vAlign w:val="bottom"/>
          </w:tcPr>
          <w:p>
            <w:pPr>
              <w:spacing w:after="0"/>
              <w:rPr>
                <w:sz w:val="1"/>
                <w:szCs w:val="1"/>
                <w:color w:val="auto"/>
              </w:rPr>
            </w:pPr>
          </w:p>
        </w:tc>
      </w:tr>
      <w:tr>
        <w:trPr>
          <w:trHeight w:val="473"/>
        </w:trPr>
        <w:tc>
          <w:tcPr>
            <w:tcW w:w="9440" w:type="dxa"/>
            <w:vAlign w:val="bottom"/>
            <w:gridSpan w:val="12"/>
          </w:tcPr>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10"/>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Fiscal Year Ended June 30, 2023</w:t>
            </w: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4"/>
                <w:szCs w:val="14"/>
                <w:color w:val="auto"/>
              </w:rPr>
            </w:pPr>
          </w:p>
        </w:tc>
        <w:tc>
          <w:tcPr>
            <w:tcW w:w="166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4"/>
                <w:szCs w:val="14"/>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1"/>
                <w:szCs w:val="21"/>
                <w:color w:val="auto"/>
              </w:rPr>
            </w:pPr>
          </w:p>
        </w:tc>
        <w:tc>
          <w:tcPr>
            <w:tcW w:w="16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60" w:type="dxa"/>
            <w:vAlign w:val="bottom"/>
          </w:tcPr>
          <w:p>
            <w:pPr>
              <w:spacing w:after="0"/>
              <w:rPr>
                <w:sz w:val="21"/>
                <w:szCs w:val="21"/>
                <w:color w:val="auto"/>
              </w:rPr>
            </w:pPr>
          </w:p>
        </w:tc>
        <w:tc>
          <w:tcPr>
            <w:tcW w:w="166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7" w:name="page88"/>
    <w:bookmarkEnd w:id="87"/>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 June 30, 2023</w:t>
            </w: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80" w:type="dxa"/>
            <w:vAlign w:val="bottom"/>
          </w:tcPr>
          <w:p>
            <w:pPr>
              <w:spacing w:after="0"/>
              <w:rPr>
                <w:sz w:val="14"/>
                <w:szCs w:val="14"/>
                <w:color w:val="auto"/>
              </w:rPr>
            </w:pPr>
          </w:p>
        </w:tc>
        <w:tc>
          <w:tcPr>
            <w:tcW w:w="15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20" w:type="dxa"/>
            <w:vAlign w:val="bottom"/>
          </w:tcPr>
          <w:p>
            <w:pPr>
              <w:spacing w:after="0"/>
              <w:rPr>
                <w:sz w:val="21"/>
                <w:szCs w:val="21"/>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57,170</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0" w:type="dxa"/>
            <w:vAlign w:val="bottom"/>
          </w:tcPr>
          <w:p>
            <w:pPr>
              <w:spacing w:after="0"/>
              <w:rPr>
                <w:sz w:val="1"/>
                <w:szCs w:val="1"/>
                <w:color w:val="auto"/>
              </w:rPr>
            </w:pPr>
          </w:p>
        </w:tc>
      </w:tr>
      <w:tr>
        <w:trPr>
          <w:trHeight w:val="223"/>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237,704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235,915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830,048</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(589,273)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8" w:name="page89"/>
    <w:bookmarkEnd w:id="88"/>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gridSpan w:val="5"/>
          </w:tcPr>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Fiscal Year Ended June 30, 2023</w:t>
            </w: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300" w:type="dxa"/>
            <w:vAlign w:val="bottom"/>
          </w:tcPr>
          <w:p>
            <w:pPr>
              <w:spacing w:after="0"/>
              <w:rPr>
                <w:sz w:val="14"/>
                <w:szCs w:val="14"/>
                <w:color w:val="auto"/>
              </w:rPr>
            </w:pPr>
          </w:p>
        </w:tc>
        <w:tc>
          <w:tcPr>
            <w:tcW w:w="16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4"/>
                <w:szCs w:val="14"/>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1"/>
                <w:szCs w:val="21"/>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used in operating</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write-downs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on marketable securities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0" w:type="dxa"/>
            <w:vAlign w:val="bottom"/>
          </w:tcPr>
          <w:p>
            <w:pPr>
              <w:spacing w:after="0"/>
              <w:rPr>
                <w:sz w:val="1"/>
                <w:szCs w:val="1"/>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0" w:type="dxa"/>
            <w:vAlign w:val="bottom"/>
          </w:tcPr>
          <w:p>
            <w:pPr>
              <w:spacing w:after="0"/>
              <w:rPr>
                <w:sz w:val="1"/>
                <w:szCs w:val="1"/>
                <w:color w:val="auto"/>
              </w:rPr>
            </w:pPr>
          </w:p>
        </w:tc>
      </w:tr>
      <w:tr>
        <w:trPr>
          <w:trHeight w:val="223"/>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revolver</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revolver</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9" w:name="page90"/>
    <w:bookmarkEnd w:id="8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8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8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3"/>
                <w:szCs w:val="13"/>
                <w:color w:val="auto"/>
              </w:rPr>
            </w:pPr>
          </w:p>
        </w:tc>
        <w:tc>
          <w:tcPr>
            <w:tcW w:w="72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9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(6,147)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(16,029)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201,753</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0" w:type="dxa"/>
            <w:vAlign w:val="bottom"/>
          </w:tcPr>
          <w:p>
            <w:pPr>
              <w:spacing w:after="0"/>
              <w:rPr>
                <w:sz w:val="1"/>
                <w:szCs w:val="1"/>
                <w:color w:val="auto"/>
              </w:rPr>
            </w:pPr>
          </w:p>
        </w:tc>
      </w:tr>
      <w:tr>
        <w:trPr>
          <w:trHeight w:val="21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(6,147)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(16,004)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220,098</w:t>
            </w:r>
          </w:p>
        </w:tc>
        <w:tc>
          <w:tcPr>
            <w:tcW w:w="0" w:type="dxa"/>
            <w:vAlign w:val="bottom"/>
          </w:tcPr>
          <w:p>
            <w:pPr>
              <w:spacing w:after="0"/>
              <w:rPr>
                <w:sz w:val="1"/>
                <w:szCs w:val="1"/>
                <w:color w:val="auto"/>
              </w:rPr>
            </w:pPr>
          </w:p>
        </w:tc>
      </w:tr>
      <w:tr>
        <w:trPr>
          <w:trHeight w:val="42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 2022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42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2,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(6,147)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(16,029)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201,753</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(6,147)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(16,004)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2, 2024, Aviat acquired 4RF Limited (“4RF”), a New Zealand company. Aviat purchased all of the issued and outstanding shares of 4RF in an all-cash transaction.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Due to the timing of the closing of the acquisition and delivery of related data, there was insufficient time to incorporate additional disclosures related to the preliminary purchase price allocation and fair value of the assets acquired and liabilities assumed.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disclosure controls and procedures as defined in Rules 13a-15(e) and 15d-15(e) under the Exchange Act, to provide reasonable assurance that the information required to be disclosed in reports that the Company files or submits under the Exchange Act is recorded, processed, summarized and reported within the time periods specified in the SEC’s rules and forms, and is accumulated and communicated to management, including the Company’s principal executive officer and principal financial officer, as appropriate to allow timely decisions regarding required disclosures. As of June 28, 2024, an evaluation was performed, under the supervision and with the participation of management, including our Chief Executive Officer (“CEO”) and Chief Financial Officer (“CFO”), of the effectiveness of the design and operation of our disclosure controls and procedures. Based on that evaluation, the Company’s CEO and CFO concluded that as of June 28, 2024, our disclosure controls and procedures were not effective due to the material weaknesses in internal control over financial reporting described below.</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weaknesses described, management concluded the consolidated financial statements included in this Annual Report on Form 10-K present fairly, in all material respects, our financial condition, results of operations and cash flows in accordance with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to provide reasonable assurance regarding the reliability of the Company’s financial reporting and the preparation of consolidated financial statements for external purposes in accordance with U.S. GAAP.</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including the Company’s CEO and CFO, assessed the effectiveness of its internal control over financial reporting as of June 28, 2024. Management based its assessment on criteria established in Internal Control-Integrated Framework issued by the Committee of Sponsoring Organizations of the Treadway Commission (2013 COSO framework).</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completed the NEC Transaction in November 2023 (as defined above), and management has excluded the acquired business’s internal control over financial reporting from its assessment of the effectiveness of internal controls as of the fiscal year ended June 28, 2024. The acquired business represents approximately 14% of consolidated total revenues for the fiscal year ended June 28, 2024.</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the Company’s internal control over financial reporting was not effective as of June 28, 2024 due to the material weaknesses detailed below.</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a reasonable possibility exists that a material misstatement of the Company’s annual or interim financial statements would not be prevented or detected on a timely basis.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determined that the Company had the following material weaknesses in its internal control over financial reporting as of June 28, 2024:</w:t>
      </w:r>
    </w:p>
    <w:p>
      <w:pPr>
        <w:spacing w:after="0" w:line="16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Ineffective control environment</w:t>
      </w:r>
      <w:r>
        <w:rPr>
          <w:rFonts w:ascii="Times New Roman" w:cs="Times New Roman" w:eastAsia="Times New Roman" w:hAnsi="Times New Roman"/>
          <w:sz w:val="18"/>
          <w:szCs w:val="18"/>
          <w:color w:val="auto"/>
        </w:rPr>
        <w:t>: the Company did not maintain an effective control environment based on the criteria established in the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The Company did not have sufficient personnel with the appropriate levels of knowledge, experience, and training in accounting and internal control over financial reporting. The material weakness in the control environment led to the additional material weaknesses detailed below.</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Ineffective control activities</w:t>
      </w:r>
      <w:r>
        <w:rPr>
          <w:rFonts w:ascii="Times New Roman" w:cs="Times New Roman" w:eastAsia="Times New Roman" w:hAnsi="Times New Roman"/>
          <w:sz w:val="18"/>
          <w:szCs w:val="18"/>
          <w:color w:val="auto"/>
        </w:rPr>
        <w:t>: the Company did not maintain effective control activities based on the criteria established in the COSO framework.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activities were either not designed effectively or not performed in a timely manner to support the operating effectiveness of the controls to prevent and detect potential material errors. As a result, the following control deficiencies constitute a material weakness individually and in the aggregate: (a) management identified instances of ineffective controls over the review of certain (i) revenue transactions, (ii) reconciliations of revenue related account balances, and (iii) reconciliations covering the data transfer of revenue transactions between its financial systems; (b) management identified instances of ineffective controls related to the determination of the appropriate period for revenue recognition; (c) management identified instances of ineffective controls related to certain arrangements where revenue is recognized over time and (d) management identified instances of ineffective controls related to the review and approval of journal entries.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Ineffective monitoring activities</w:t>
      </w:r>
      <w:r>
        <w:rPr>
          <w:rFonts w:ascii="Times New Roman" w:cs="Times New Roman" w:eastAsia="Times New Roman" w:hAnsi="Times New Roman"/>
          <w:sz w:val="18"/>
          <w:szCs w:val="18"/>
          <w:color w:val="auto"/>
        </w:rPr>
        <w:t>: the Company did not maintain effective monitoring activities based on the criteria established in the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to determine whether the components of internal control over financial reporting were present and functioning. Monitoring activities were not in place to timely identify and initiate the transition of certain control activities or identify control activities that were not effectively designed.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2024 we initiated and will continue to implement measures designed to improve our internal control over financial reporting to remediate these material weaknesses with oversight from the Audit Committee of the Board of Directors, including the following:</w:t>
      </w:r>
    </w:p>
    <w:p>
      <w:pPr>
        <w:spacing w:after="0" w:line="94" w:lineRule="exact"/>
        <w:rPr>
          <w:sz w:val="20"/>
          <w:szCs w:val="20"/>
          <w:color w:val="auto"/>
        </w:rPr>
      </w:pPr>
    </w:p>
    <w:p>
      <w:pPr>
        <w:jc w:val="both"/>
        <w:ind w:left="660" w:hanging="328"/>
        <w:spacing w:after="0" w:line="239"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We hired and will continue to hire qualified accounting and internal control professionals with the appropriate level of experience and training to design, implement, execute, and monitor our system of internal control. During the fourth quarter of fiscal year 2024 we hired a new Chief Financial Officer, Head of Internal Audit, and backfilled vacancies resulting from key finance and accounting personnel turnover.</w:t>
      </w:r>
    </w:p>
    <w:p>
      <w:pPr>
        <w:spacing w:after="0" w:line="105"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We will provide training to the applicable control performers related to the importance of timely execution of control activities for which they are responsible.</w:t>
      </w:r>
    </w:p>
    <w:p>
      <w:pPr>
        <w:spacing w:after="0" w:line="51" w:lineRule="exact"/>
        <w:rPr>
          <w:rFonts w:ascii="Arial" w:cs="Arial" w:eastAsia="Arial" w:hAnsi="Arial"/>
          <w:sz w:val="22"/>
          <w:szCs w:val="22"/>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redesign controls over the determination of the appropriate period for revenue recognition, controls over arrangements where revenue is recognized over time and controls related to the review and approval of journal entries.</w:t>
      </w:r>
    </w:p>
    <w:p>
      <w:pPr>
        <w:spacing w:after="0" w:line="53" w:lineRule="exact"/>
        <w:rPr>
          <w:rFonts w:ascii="Times New Roman" w:cs="Times New Roman" w:eastAsia="Times New Roman" w:hAnsi="Times New Roman"/>
          <w:sz w:val="18"/>
          <w:szCs w:val="18"/>
          <w:color w:val="auto"/>
        </w:rPr>
      </w:pPr>
    </w:p>
    <w:p>
      <w:pPr>
        <w:ind w:left="660" w:hanging="328"/>
        <w:spacing w:after="0" w:line="244" w:lineRule="auto"/>
        <w:tabs>
          <w:tab w:leader="none" w:pos="6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are implementing a formal monitoring program to perform the necessary evaluations to ascertain whether the components of internal control are present and functioning, including implementing corrective actions as necessary.</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committed to maintaining a strong control environment and believe that these remediation efforts represent continued improvement in our control environment. We also expect, with oversight from the Audit Committee of the Board of Directors, to continue to review, optimize and enhance our financial reporting controls and procedures. The material weaknesses will not be considered remediated until the associated controls operate effectively for a sufficient period of time and management concludes, through testing, that the controls are operating effectively.</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internal control over financial reporting as of June 28, 2024 has been audited by the Company’s independent registered public accounting firm, as stated in their attestation report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implementing internal control procedures related to the acquired business and expects this to be completed during fiscal 2025.</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noted in the foregoing sentence and as set forth above in connection with our material weaknesses, there were no other changes to internal controls over financial reporting as defined in Rules 13a-15(f) or 15d-15(f) that occurred during the Company’s fourth fiscal quarter ended June 28, 2024 that has materially affected, or is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Aviat Networks,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Aviat Networks, Inc. and subsidiaries (the “Company”) as of June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weaknesses identified below on the achievement of objectives of the control criteria, the Company has not maintained effective internal control over financial reporting as of June 28, 2024,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fiscal year ended June 28, 2024, of the Company and our report dated October 4, 2024, expressed an unqualified opinion on those financial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of the NEC wireless transport business, which was acquired on November 30, 2023, and whose financial statements constitute approximately 14% of total revenue of the consolidated financial statements for the fiscal year ended June 28, 2024. Accordingly, our audit did not include the internal control over financial reporting for the NEC wireless transport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based on the criteria established in the COSO framework. The Company did not have sufficient personnel with the appropriate levels of knowledge, experience, and training in accounting and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 in the control environment led to the additional material weaknesses detailed below.</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maintain effective control activities based on the criteria established in the COSO framework. Control activities were either not designed effectively or not performed in a timely manner to support the operating effectiveness of the controls to prevent and detect potential material errors. As a result, the following control deficiencies constitute a material weakness individually and in the aggregate: (a) the Company identified instances of ineffective controls over the review of certain (i) revenue transactions, (ii) reconciliations of revenue related account balances, and (iii) reconciliations covering the data transfer of revenue transactions between its financial systems; and (b) The Company identified instances of ineffective controls related to the determination of the appropriate period for revenue recognition; (c) the Company identified instances of ineffective controls related to certain arrangements where revenue is recognized over time and (d) management identified instances of ineffective controls related to the review and approval of journal entries.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maintain effective monitoring activities based on the criteria established in the COSO framework to determine whether the components of internal control over financial reporting were present and functioning. Monitoring activities were not in place to timely identify and initiate the transition of certain control activities or identify control activities that were not effectively designed.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consolidated financial statements as of and for the fiscal year ended June 28, 2024, of the Company, and this report does not affect our report on such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28, 2024, none of the Company’s Directors or Officers adopted, modified or terminated a “Rule 10b5-1 trading arrangement” or a “non-Rule 10b5-1 trading arrangement,” as defined in Item 408 of Regulation S-K.</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discussed in Note 16. Revisions to Prior Period Consolidated Financial Statements, subsequent to the third quarter of fiscal 2024, the Company identified errors in the quarterly financial statements for fiscal 2024 related to estimated total contract costs and progress to completion for an over-time arrangement. The Company has identified additional errors impacting the quarterly financial statements for fiscal 2024 related to the recognition of revenue prior to performance obligations being met and related to journal entries recorded in error.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The effect of the errors resulted in the following impacts to the quarterly financial statements for fiscal 2024:</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28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28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8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196,794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291,423</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468"/>
        </w:trPr>
        <w:tc>
          <w:tcPr>
            <w:tcW w:w="10060" w:type="dxa"/>
            <w:vAlign w:val="bottom"/>
            <w:gridSpan w:val="16"/>
          </w:tcPr>
          <w:p>
            <w:pPr>
              <w:ind w:left="2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280" w:type="dxa"/>
            <w:vAlign w:val="bottom"/>
            <w:gridSpan w:val="3"/>
          </w:tcPr>
          <w:p>
            <w:pPr>
              <w:jc w:val="right"/>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300" w:type="dxa"/>
            <w:vAlign w:val="bottom"/>
            <w:gridSpan w:val="3"/>
          </w:tcPr>
          <w:p>
            <w:pPr>
              <w:jc w:val="right"/>
              <w:ind w:right="18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6"/>
          </w:tcPr>
          <w:p>
            <w:pPr>
              <w:ind w:left="2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2024</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30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0" w:type="dxa"/>
            <w:vAlign w:val="bottom"/>
          </w:tcPr>
          <w:p>
            <w:pPr>
              <w:spacing w:after="0"/>
              <w:rPr>
                <w:sz w:val="1"/>
                <w:szCs w:val="1"/>
                <w:color w:val="auto"/>
              </w:rPr>
            </w:pPr>
          </w:p>
        </w:tc>
      </w:tr>
      <w:tr>
        <w:trPr>
          <w:trHeight w:val="228"/>
        </w:trPr>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0" w:type="dxa"/>
            <w:vAlign w:val="bottom"/>
          </w:tcPr>
          <w:p>
            <w:pPr>
              <w:spacing w:after="0"/>
              <w:rPr>
                <w:sz w:val="1"/>
                <w:szCs w:val="1"/>
                <w:color w:val="auto"/>
              </w:rPr>
            </w:pPr>
          </w:p>
        </w:tc>
      </w:tr>
      <w:tr>
        <w:trPr>
          <w:trHeight w:val="468"/>
        </w:trPr>
        <w:tc>
          <w:tcPr>
            <w:tcW w:w="8740" w:type="dxa"/>
            <w:vAlign w:val="bottom"/>
            <w:gridSpan w:val="4"/>
          </w:tcPr>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Three Months Ended March 29,</w:t>
            </w:r>
          </w:p>
        </w:tc>
        <w:tc>
          <w:tcPr>
            <w:tcW w:w="0" w:type="dxa"/>
            <w:vAlign w:val="bottom"/>
          </w:tcPr>
          <w:p>
            <w:pPr>
              <w:spacing w:after="0"/>
              <w:rPr>
                <w:sz w:val="1"/>
                <w:szCs w:val="1"/>
                <w:color w:val="auto"/>
              </w:rPr>
            </w:pPr>
          </w:p>
        </w:tc>
      </w:tr>
      <w:tr>
        <w:trPr>
          <w:trHeight w:val="214"/>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253,936</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258,507</w:t>
            </w:r>
          </w:p>
        </w:tc>
        <w:tc>
          <w:tcPr>
            <w:tcW w:w="0" w:type="dxa"/>
            <w:vAlign w:val="bottom"/>
          </w:tcPr>
          <w:p>
            <w:pPr>
              <w:spacing w:after="0"/>
              <w:rPr>
                <w:sz w:val="1"/>
                <w:szCs w:val="1"/>
                <w:color w:val="auto"/>
              </w:rPr>
            </w:pPr>
          </w:p>
        </w:tc>
      </w:tr>
      <w:tr>
        <w:trPr>
          <w:trHeight w:val="42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42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Nine Months Ended March 29,</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25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(587,914)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220,098</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(577,601)</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258,507</w:t>
            </w:r>
          </w:p>
        </w:tc>
        <w:tc>
          <w:tcPr>
            <w:tcW w:w="0" w:type="dxa"/>
            <w:vAlign w:val="bottom"/>
          </w:tcPr>
          <w:p>
            <w:pPr>
              <w:spacing w:after="0"/>
              <w:rPr>
                <w:sz w:val="1"/>
                <w:szCs w:val="1"/>
                <w:color w:val="auto"/>
              </w:rPr>
            </w:pPr>
          </w:p>
        </w:tc>
      </w:tr>
      <w:tr>
        <w:trPr>
          <w:trHeight w:val="42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42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(589,273)</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218,739</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540" w:type="dxa"/>
            <w:vAlign w:val="bottom"/>
          </w:tcPr>
          <w:p>
            <w:pPr>
              <w:spacing w:after="0"/>
              <w:rPr>
                <w:sz w:val="24"/>
                <w:szCs w:val="24"/>
                <w:color w:val="auto"/>
              </w:rPr>
            </w:pPr>
          </w:p>
        </w:tc>
        <w:tc>
          <w:tcPr>
            <w:tcW w:w="75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29, 2023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29, 2023</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28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124,566</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56,035</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180,601</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73,206</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113,079</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67,522</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2,890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60" w:type="dxa"/>
            <w:vAlign w:val="bottom"/>
            <w:gridSpan w:val="22"/>
          </w:tcPr>
          <w:p>
            <w:pPr>
              <w:ind w:left="2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29, 2023</w:t>
            </w:r>
          </w:p>
        </w:tc>
        <w:tc>
          <w:tcPr>
            <w:tcW w:w="10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29, 2023</w:t>
            </w: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jc w:val="right"/>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30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00" w:type="dxa"/>
            <w:vAlign w:val="bottom"/>
          </w:tcPr>
          <w:p>
            <w:pPr>
              <w:spacing w:after="0"/>
              <w:rPr>
                <w:sz w:val="14"/>
                <w:szCs w:val="14"/>
                <w:color w:val="auto"/>
              </w:rPr>
            </w:pPr>
          </w:p>
        </w:tc>
        <w:tc>
          <w:tcPr>
            <w:tcW w:w="12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4"/>
                <w:szCs w:val="14"/>
                <w:color w:val="auto"/>
              </w:rPr>
            </w:pPr>
          </w:p>
        </w:tc>
        <w:tc>
          <w:tcPr>
            <w:tcW w:w="106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340" w:type="dxa"/>
            <w:vAlign w:val="bottom"/>
          </w:tcPr>
          <w:p>
            <w:pPr>
              <w:spacing w:after="0"/>
              <w:rPr>
                <w:sz w:val="24"/>
                <w:szCs w:val="24"/>
                <w:color w:val="auto"/>
              </w:rPr>
            </w:pPr>
          </w:p>
        </w:tc>
        <w:tc>
          <w:tcPr>
            <w:tcW w:w="6520" w:type="dxa"/>
            <w:vAlign w:val="bottom"/>
            <w:gridSpan w:val="1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29, 2023</w:t>
            </w: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3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4"/>
                <w:szCs w:val="14"/>
                <w:color w:val="auto"/>
              </w:rPr>
            </w:pPr>
          </w:p>
        </w:tc>
        <w:tc>
          <w:tcPr>
            <w:tcW w:w="106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0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2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0" w:type="dxa"/>
            <w:vAlign w:val="bottom"/>
          </w:tcPr>
          <w:p>
            <w:pPr>
              <w:spacing w:after="0"/>
              <w:rPr>
                <w:sz w:val="1"/>
                <w:szCs w:val="1"/>
                <w:color w:val="auto"/>
              </w:rPr>
            </w:pPr>
          </w:p>
        </w:tc>
      </w:tr>
      <w:tr>
        <w:trPr>
          <w:trHeight w:val="229"/>
        </w:trPr>
        <w:tc>
          <w:tcPr>
            <w:tcW w:w="2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3"/>
        </w:trPr>
        <w:tc>
          <w:tcPr>
            <w:tcW w:w="37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4"/>
                <w:szCs w:val="24"/>
                <w:color w:val="auto"/>
              </w:rPr>
            </w:pPr>
          </w:p>
        </w:tc>
        <w:tc>
          <w:tcPr>
            <w:tcW w:w="6420" w:type="dxa"/>
            <w:vAlign w:val="bottom"/>
            <w:gridSpan w:val="1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 (unaudited)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29,</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226,150</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253,936</w:t>
            </w:r>
          </w:p>
        </w:tc>
        <w:tc>
          <w:tcPr>
            <w:tcW w:w="0" w:type="dxa"/>
            <w:vAlign w:val="bottom"/>
          </w:tcPr>
          <w:p>
            <w:pPr>
              <w:spacing w:after="0"/>
              <w:rPr>
                <w:sz w:val="1"/>
                <w:szCs w:val="1"/>
                <w:color w:val="auto"/>
              </w:rPr>
            </w:pPr>
          </w:p>
        </w:tc>
      </w:tr>
      <w:tr>
        <w:trPr>
          <w:trHeight w:val="42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42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224,343</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(583,932)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Six Months Ended December 29,</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254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220,098</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253,936</w:t>
            </w:r>
          </w:p>
        </w:tc>
        <w:tc>
          <w:tcPr>
            <w:tcW w:w="0" w:type="dxa"/>
            <w:vAlign w:val="bottom"/>
          </w:tcPr>
          <w:p>
            <w:pPr>
              <w:spacing w:after="0"/>
              <w:rPr>
                <w:sz w:val="1"/>
                <w:szCs w:val="1"/>
                <w:color w:val="auto"/>
              </w:rPr>
            </w:pPr>
          </w:p>
        </w:tc>
      </w:tr>
      <w:tr>
        <w:trPr>
          <w:trHeight w:val="42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42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218,739</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4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540" w:type="dxa"/>
            <w:vAlign w:val="bottom"/>
          </w:tcPr>
          <w:p>
            <w:pPr>
              <w:spacing w:after="0"/>
              <w:rPr>
                <w:sz w:val="24"/>
                <w:szCs w:val="24"/>
                <w:color w:val="auto"/>
              </w:rPr>
            </w:pPr>
          </w:p>
        </w:tc>
        <w:tc>
          <w:tcPr>
            <w:tcW w:w="7500" w:type="dxa"/>
            <w:vAlign w:val="bottom"/>
            <w:gridSpan w:val="7"/>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29, 2023</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06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86,909</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49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shd w:val="clear" w:color="auto" w:fill="CCEEFF"/>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5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4"/>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454"/>
        </w:trPr>
        <w:tc>
          <w:tcPr>
            <w:tcW w:w="10040" w:type="dxa"/>
            <w:vAlign w:val="bottom"/>
            <w:gridSpan w:val="8"/>
          </w:tcPr>
          <w:p>
            <w:pPr>
              <w:jc w:val="center"/>
              <w:ind w:left="1615"/>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29, 2023</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30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5"/>
                <w:szCs w:val="15"/>
                <w:color w:val="auto"/>
              </w:rPr>
            </w:pPr>
          </w:p>
        </w:tc>
        <w:tc>
          <w:tcPr>
            <w:tcW w:w="106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9" w:name="page100"/>
    <w:bookmarkEnd w:id="9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40" w:type="dxa"/>
            <w:vAlign w:val="bottom"/>
            <w:gridSpan w:val="9"/>
          </w:tcPr>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29, 2023</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30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473"/>
        </w:trPr>
        <w:tc>
          <w:tcPr>
            <w:tcW w:w="8740" w:type="dxa"/>
            <w:vAlign w:val="bottom"/>
            <w:gridSpan w:val="4"/>
          </w:tcPr>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0" w:type="dxa"/>
            <w:vAlign w:val="bottom"/>
          </w:tcPr>
          <w:p>
            <w:pPr>
              <w:spacing w:after="0"/>
              <w:rPr>
                <w:sz w:val="1"/>
                <w:szCs w:val="1"/>
                <w:color w:val="auto"/>
              </w:rPr>
            </w:pPr>
          </w:p>
        </w:tc>
      </w:tr>
      <w:tr>
        <w:trPr>
          <w:trHeight w:val="214"/>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right"/>
              <w:ind w:right="876"/>
              <w:spacing w:after="0"/>
              <w:rPr>
                <w:sz w:val="20"/>
                <w:szCs w:val="20"/>
                <w:color w:val="auto"/>
              </w:rPr>
            </w:pPr>
            <w:r>
              <w:rPr>
                <w:rFonts w:ascii="Times New Roman" w:cs="Times New Roman" w:eastAsia="Times New Roman" w:hAnsi="Times New Roman"/>
                <w:sz w:val="16"/>
                <w:szCs w:val="16"/>
                <w:b w:val="1"/>
                <w:bCs w:val="1"/>
                <w:color w:val="auto"/>
              </w:rPr>
              <w:t>29, 2023</w:t>
            </w:r>
          </w:p>
        </w:tc>
        <w:tc>
          <w:tcPr>
            <w:tcW w:w="0" w:type="dxa"/>
            <w:vAlign w:val="bottom"/>
          </w:tcPr>
          <w:p>
            <w:pPr>
              <w:spacing w:after="0"/>
              <w:rPr>
                <w:sz w:val="1"/>
                <w:szCs w:val="1"/>
                <w:color w:val="auto"/>
              </w:rPr>
            </w:pPr>
          </w:p>
        </w:tc>
      </w:tr>
      <w:tr>
        <w:trPr>
          <w:trHeight w:val="495"/>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2"/>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4,005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226,150</w:t>
            </w:r>
          </w:p>
        </w:tc>
        <w:tc>
          <w:tcPr>
            <w:tcW w:w="0" w:type="dxa"/>
            <w:vAlign w:val="bottom"/>
          </w:tcPr>
          <w:p>
            <w:pPr>
              <w:spacing w:after="0"/>
              <w:rPr>
                <w:sz w:val="1"/>
                <w:szCs w:val="1"/>
                <w:color w:val="auto"/>
              </w:rPr>
            </w:pPr>
          </w:p>
        </w:tc>
      </w:tr>
      <w:tr>
        <w:trPr>
          <w:trHeight w:val="42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42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218,739</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3,557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(585,716)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224,343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the Company will file a definitive Proxy Statement with the SEC within 120 days after the end of its fiscal year ended June 28,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adopted a Code of Conduct that is available at www.aviatnetworks.com. The Company’s Code of Conduct was most recently amended and restated in November 2022. If, in the future, the Company amends its Code of Conduct or grants waivers from its Code of Conduct with respect to any of its executive officers or directors, the Company will make information regarding such amendments or waivers available on its website for a period of at least 12 months.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with respect to Executive Officers, see Part I, Item 1 of this Annual Report on Form 10-K, under “Information about our Executive Officers,” which is incorporated herein by reference.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information required to be disclosed in this Item 10 that is not otherwise contained herein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executive and director compensation will appear in its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will appear in the Company’s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Statements and Schedules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financial statements of Aviat Networks, Inc. are set forth in Item 8 of this Annual Report on Form 10-K. The financial statement schedules have been omitted because the required information is not required, not applicable or because the information is included elsewhere in the consolidated financial statements or notes thereto.</w:t>
      </w:r>
    </w:p>
    <w:p>
      <w:pPr>
        <w:spacing w:after="0" w:line="122"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on the Exhibit Index (following the Signatures section of this report) and is included, or incorporated by reference,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6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234"/>
        </w:trPr>
        <w:tc>
          <w:tcPr>
            <w:tcW w:w="4120" w:type="dxa"/>
            <w:vAlign w:val="bottom"/>
          </w:tcPr>
          <w:p>
            <w:pPr>
              <w:spacing w:after="0"/>
              <w:rPr>
                <w:sz w:val="20"/>
                <w:szCs w:val="20"/>
                <w:color w:val="auto"/>
              </w:rPr>
            </w:pPr>
          </w:p>
        </w:tc>
        <w:tc>
          <w:tcPr>
            <w:tcW w:w="6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4, 2024</w:t>
            </w:r>
          </w:p>
        </w:tc>
        <w:tc>
          <w:tcPr>
            <w:tcW w:w="29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r>
      <w:tr>
        <w:trPr>
          <w:trHeight w:val="218"/>
        </w:trPr>
        <w:tc>
          <w:tcPr>
            <w:tcW w:w="4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Connaway</w:t>
            </w:r>
          </w:p>
        </w:tc>
      </w:tr>
      <w:tr>
        <w:trPr>
          <w:trHeight w:val="234"/>
        </w:trPr>
        <w:tc>
          <w:tcPr>
            <w:tcW w:w="4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60" w:type="dxa"/>
            <w:vAlign w:val="bottom"/>
          </w:tcPr>
          <w:p>
            <w:pPr>
              <w:spacing w:after="0"/>
              <w:rPr>
                <w:sz w:val="17"/>
                <w:szCs w:val="17"/>
                <w:color w:val="auto"/>
              </w:rPr>
            </w:pPr>
          </w:p>
        </w:tc>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Peter A. Smith</w:t>
            </w:r>
          </w:p>
        </w:tc>
        <w:tc>
          <w:tcPr>
            <w:tcW w:w="5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79"/>
        </w:trPr>
        <w:tc>
          <w:tcPr>
            <w:tcW w:w="14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Peter A. Smith</w:t>
            </w:r>
          </w:p>
        </w:tc>
        <w:tc>
          <w:tcPr>
            <w:tcW w:w="506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60" w:type="dxa"/>
            <w:vAlign w:val="bottom"/>
            <w:gridSpan w:val="3"/>
            <w:vMerge w:val="continue"/>
          </w:tcPr>
          <w:p>
            <w:pPr>
              <w:spacing w:after="0"/>
              <w:rPr>
                <w:sz w:val="8"/>
                <w:szCs w:val="8"/>
                <w:color w:val="auto"/>
              </w:rPr>
            </w:pPr>
          </w:p>
        </w:tc>
        <w:tc>
          <w:tcPr>
            <w:tcW w:w="2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Connaway</w:t>
            </w:r>
          </w:p>
        </w:tc>
        <w:tc>
          <w:tcPr>
            <w:tcW w:w="5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54"/>
        </w:trPr>
        <w:tc>
          <w:tcPr>
            <w:tcW w:w="1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6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Michael Connaway</w:t>
            </w:r>
          </w:p>
        </w:tc>
        <w:tc>
          <w:tcPr>
            <w:tcW w:w="506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2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6"/>
        </w:trPr>
        <w:tc>
          <w:tcPr>
            <w:tcW w:w="3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Mutch</w:t>
            </w:r>
          </w:p>
        </w:tc>
        <w:tc>
          <w:tcPr>
            <w:tcW w:w="5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228"/>
        </w:trPr>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Mutch</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Laxmi Akkaraju</w:t>
            </w:r>
          </w:p>
        </w:tc>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228"/>
        </w:trPr>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Laxmi Akkaraju</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Bryan Ingram</w:t>
            </w:r>
          </w:p>
        </w:tc>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228"/>
        </w:trPr>
        <w:tc>
          <w:tcPr>
            <w:tcW w:w="3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Bryan Ingram</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Michele Klein</w:t>
            </w:r>
          </w:p>
        </w:tc>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228"/>
        </w:trPr>
        <w:tc>
          <w:tcPr>
            <w:tcW w:w="3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Michele Klein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Bruce Taten</w:t>
            </w:r>
          </w:p>
        </w:tc>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October 4, 2024</w:t>
            </w:r>
          </w:p>
        </w:tc>
        <w:tc>
          <w:tcPr>
            <w:tcW w:w="0" w:type="dxa"/>
            <w:vAlign w:val="bottom"/>
          </w:tcPr>
          <w:p>
            <w:pPr>
              <w:spacing w:after="0"/>
              <w:rPr>
                <w:sz w:val="1"/>
                <w:szCs w:val="1"/>
                <w:color w:val="auto"/>
              </w:rPr>
            </w:pPr>
          </w:p>
        </w:tc>
      </w:tr>
      <w:tr>
        <w:trPr>
          <w:trHeight w:val="228"/>
        </w:trPr>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Bruce Taten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2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herein by reference to exhibits previously filed with the SEC: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 #</w:t>
            </w:r>
          </w:p>
        </w:tc>
        <w:tc>
          <w:tcPr>
            <w:tcW w:w="1020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175"/>
        </w:trPr>
        <w:tc>
          <w:tcPr>
            <w:tcW w:w="10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200" w:type="dxa"/>
            <w:vAlign w:val="bottom"/>
            <w:shd w:val="clear" w:color="auto" w:fill="CCEEFF"/>
          </w:tcPr>
          <w:p>
            <w:pPr>
              <w:ind w:left="540"/>
              <w:spacing w:after="0" w:line="17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Master Sale of Business Agreement, dated May 9, 2023, by and among the Company and NEC (incorporated by reference to Exhibit</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2.1 to the Current Report on Form 8-K filed May 9, 2023, File No. 001-33278).</w:t>
              </w:r>
            </w:hyperlink>
          </w:p>
        </w:tc>
      </w:tr>
      <w:tr>
        <w:trPr>
          <w:trHeight w:val="175"/>
        </w:trPr>
        <w:tc>
          <w:tcPr>
            <w:tcW w:w="10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to the Master Sale of Business Agreement, dated November 30, 2023, by and between the Company and NEC</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Exhibit 2.2 to the Current Report on Form 8-K filed December 1, 2023, File No. 001-33279).</w:t>
              </w:r>
            </w:hyperlink>
          </w:p>
        </w:tc>
      </w:tr>
      <w:tr>
        <w:trPr>
          <w:trHeight w:val="180"/>
        </w:trPr>
        <w:tc>
          <w:tcPr>
            <w:tcW w:w="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3.1</w:t>
            </w:r>
          </w:p>
        </w:tc>
        <w:tc>
          <w:tcPr>
            <w:tcW w:w="620" w:type="dxa"/>
            <w:vAlign w:val="bottom"/>
            <w:shd w:val="clear" w:color="auto" w:fill="CCEEFF"/>
          </w:tcPr>
          <w:p>
            <w:pPr>
              <w:spacing w:after="0"/>
              <w:rPr>
                <w:sz w:val="15"/>
                <w:szCs w:val="15"/>
                <w:color w:val="auto"/>
              </w:rPr>
            </w:pP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Certificate of Incorporation of Aviat Networks, Inc., as amended (incorporated by reference to Exhibit 3.1 to</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Current Report on Form 8-K filed with the SEC on November 13, 2023, File No. 001-33278).</w:t>
              </w:r>
            </w:hyperlink>
          </w:p>
        </w:tc>
      </w:tr>
      <w:tr>
        <w:trPr>
          <w:trHeight w:val="176"/>
        </w:trPr>
        <w:tc>
          <w:tcPr>
            <w:tcW w:w="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15"/>
                <w:szCs w:val="15"/>
                <w:color w:val="auto"/>
              </w:rPr>
            </w:pP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Bylaws of Aviat Networks, Inc. (incorporated by reference to Exhibit 3.1 to the Current Report on Form 8-K</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filed with the SEC on August 24, 2023, File No. 001-33278).</w:t>
              </w:r>
            </w:hyperlink>
          </w:p>
        </w:tc>
      </w:tr>
      <w:tr>
        <w:trPr>
          <w:trHeight w:val="180"/>
        </w:trPr>
        <w:tc>
          <w:tcPr>
            <w:tcW w:w="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15"/>
                <w:szCs w:val="15"/>
                <w:color w:val="auto"/>
              </w:rPr>
            </w:pP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Certificate of Designation of Rights, Preferences and Privileges of Series A Participating Preferred Stock (incorporated by reference</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 Exhibit 3.2 to the Current Report on Form 8-K filed with the SEC on September 7, 2016. File No. 001-33278)</w:t>
              </w:r>
              <w:r>
                <w:rPr>
                  <w:rFonts w:ascii="Times New Roman" w:cs="Times New Roman" w:eastAsia="Times New Roman" w:hAnsi="Times New Roman"/>
                  <w:sz w:val="18"/>
                  <w:szCs w:val="18"/>
                  <w:color w:val="000000"/>
                </w:rPr>
                <w:t>.</w:t>
              </w:r>
            </w:hyperlink>
          </w:p>
        </w:tc>
      </w:tr>
      <w:tr>
        <w:trPr>
          <w:trHeight w:val="176"/>
        </w:trPr>
        <w:tc>
          <w:tcPr>
            <w:tcW w:w="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5"/>
                <w:szCs w:val="15"/>
                <w:color w:val="auto"/>
              </w:rPr>
            </w:pP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Specimen common stock certificate, adopted as of January 29, 2010 (incorporated by reference to Exhibit 4.1.1 to the Annual Report</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on Form 10-K for fiscal year end July 2, 2010 filed with the SEC on September 9, 2010, File No. 001-33278)</w:t>
              </w:r>
              <w:r>
                <w:rPr>
                  <w:rFonts w:ascii="Times New Roman" w:cs="Times New Roman" w:eastAsia="Times New Roman" w:hAnsi="Times New Roman"/>
                  <w:sz w:val="18"/>
                  <w:szCs w:val="18"/>
                  <w:color w:val="000000"/>
                </w:rPr>
                <w:t>.</w:t>
              </w:r>
            </w:hyperlink>
          </w:p>
        </w:tc>
      </w:tr>
      <w:tr>
        <w:trPr>
          <w:trHeight w:val="215"/>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8"/>
                <w:szCs w:val="18"/>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Tax Benefit Preservation Plan, dated as of August 27, 2020, by and between Aviat Networks, Inc. and</w:t>
              </w:r>
            </w:hyperlink>
          </w:p>
        </w:tc>
      </w:tr>
      <w:tr>
        <w:trPr>
          <w:trHeight w:val="203"/>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0" w:type="dxa"/>
            <w:vAlign w:val="bottom"/>
            <w:shd w:val="clear" w:color="auto" w:fill="CCEEFF"/>
          </w:tcPr>
          <w:p>
            <w:pPr>
              <w:ind w:left="540"/>
              <w:spacing w:after="0" w:line="20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Computershare Inc., as Rights Agent (incorporated by reference to Exhibit 4.1 to the Current Report on Form 8-K filed with the SEC</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0" w:type="dxa"/>
            <w:vAlign w:val="bottom"/>
            <w:tcBorders>
              <w:bottom w:val="single" w:sz="8" w:color="CCEEFF"/>
            </w:tcBorders>
            <w:shd w:val="clear" w:color="auto" w:fill="CCEEFF"/>
          </w:tcPr>
          <w:p>
            <w:pPr>
              <w:ind w:left="54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on August 31, 2020, File No. 011-33278)</w:t>
              </w:r>
              <w:r>
                <w:rPr>
                  <w:rFonts w:ascii="Times New Roman" w:cs="Times New Roman" w:eastAsia="Times New Roman" w:hAnsi="Times New Roman"/>
                  <w:sz w:val="18"/>
                  <w:szCs w:val="18"/>
                  <w:color w:val="000000"/>
                </w:rPr>
                <w:t>.</w:t>
              </w:r>
            </w:hyperlink>
          </w:p>
        </w:tc>
      </w:tr>
      <w:tr>
        <w:trPr>
          <w:trHeight w:val="21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18"/>
                <w:szCs w:val="18"/>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the Amended and Restated Tax Benefit Preservation Plan, dated as of February 28, 2023, by and between Aviat</w:t>
              </w:r>
            </w:hyperlink>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0" w:type="dxa"/>
            <w:vAlign w:val="bottom"/>
          </w:tcPr>
          <w:p>
            <w:pPr>
              <w:ind w:left="540"/>
              <w:spacing w:after="0" w:line="20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Networks, Inc. and Computershare Inc., as Rights Agent (incorporated by reference to Exhibit 4.1 to the Current Report on Form 8-K</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filed with the SEC on February 28, 2023,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11"/>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shd w:val="clear" w:color="auto" w:fill="CCEEFF"/>
          </w:tcPr>
          <w:p>
            <w:pPr>
              <w:spacing w:after="0"/>
              <w:rPr>
                <w:sz w:val="18"/>
                <w:szCs w:val="18"/>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Description of Registered Securities (incorporated by reference to Exhibit 4.5 to the Annual Report on Form 10-K for fiscal year end</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0" w:type="dxa"/>
            <w:vAlign w:val="bottom"/>
            <w:tcBorders>
              <w:bottom w:val="single" w:sz="8" w:color="CCEEFF"/>
            </w:tcBorders>
            <w:shd w:val="clear" w:color="auto" w:fill="CCEEFF"/>
          </w:tcPr>
          <w:p>
            <w:pPr>
              <w:ind w:left="54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June 30, 2023 filed with the SEC on August 30,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Registration Rights and Lock-Up Agreement, dated November 30, 2023, by and between the Company and NEC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10.1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10.2#◊</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Manufacturing and Supply Agreement, dated November 30, 2023, by and among the Company, NECPF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reference to Exhibit 10.2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Global Transition Services Agreement, dated November 30, 2023, by and between the Company and NEC (incorporated by reference</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to Exhibit 10.3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Global Seller Transition Services Agreement, dated November 30, 2023, by and between the Company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10.4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Distribution Agreement, dated November 30, 2023, by and between Aviat Singapore and NEC South Africa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10.5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10.6#◊</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Framework Agreement, dated November 30, 2023, by and between Aviat Singapore and NEC Saudi Arabia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10.6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Distribution Agreement, dated November 30, 2023, by and between Aviat Singapore and NEC New Zealand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10.7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10.8#◊</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Distribution Agreement, dated November 30, 2023, by and between Aviat Singapore and NEC Malaysia (incorporated by reference</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 Exhibit 10.8 to the Current Report on Form 8-K filed with the SEC on December 1, 2023, File No. 001-33278).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 #</w:t>
            </w:r>
          </w:p>
        </w:tc>
        <w:tc>
          <w:tcPr>
            <w:tcW w:w="740" w:type="dxa"/>
            <w:vAlign w:val="bottom"/>
          </w:tcPr>
          <w:p>
            <w:pPr>
              <w:spacing w:after="0"/>
              <w:rPr>
                <w:sz w:val="17"/>
                <w:szCs w:val="17"/>
                <w:color w:val="auto"/>
              </w:rPr>
            </w:pPr>
          </w:p>
        </w:tc>
        <w:tc>
          <w:tcPr>
            <w:tcW w:w="1008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tcPr>
          <w:p>
            <w:pPr>
              <w:ind w:left="4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Trademark License Agreement, dated November 30, 2023, by and between the Company and NEC (incorporated by reference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10.9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10.10#◊</w:t>
            </w:r>
          </w:p>
        </w:tc>
        <w:tc>
          <w:tcPr>
            <w:tcW w:w="10080" w:type="dxa"/>
            <w:vAlign w:val="bottom"/>
            <w:shd w:val="clear" w:color="auto" w:fill="CCEEFF"/>
          </w:tcPr>
          <w:p>
            <w:pPr>
              <w:ind w:left="420"/>
              <w:spacing w:after="0" w:line="180"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Intellectual Property License Agreement, dated November 30, 2023, by and between the Company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reference to Exhibit 10.10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Trademark Assignment Agreement, dated November 30, 2023, by and between the Company and NEC (incorporated by reference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Exhibit 10.11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10.12#◊</w:t>
            </w:r>
          </w:p>
        </w:tc>
        <w:tc>
          <w:tcPr>
            <w:tcW w:w="10080" w:type="dxa"/>
            <w:vAlign w:val="bottom"/>
            <w:shd w:val="clear" w:color="auto" w:fill="CCEEFF"/>
          </w:tcPr>
          <w:p>
            <w:pPr>
              <w:ind w:left="420"/>
              <w:spacing w:after="0" w:line="180"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Development Services Agreement, dated November 30, 2023, by and between Opco and NEC (incorporated by reference to Exhibit</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10.12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Credit Agreement dated May 9, 2023, by and among the Company, the Opco, the Singapore Borrower and the Lenders (incorporated</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reference to Exhibit 10.1 to the Current Report on Form 8-K filed with the SEC on May 9,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10.14#◊</w:t>
            </w:r>
          </w:p>
        </w:tc>
        <w:tc>
          <w:tcPr>
            <w:tcW w:w="10080" w:type="dxa"/>
            <w:vAlign w:val="bottom"/>
            <w:shd w:val="clear" w:color="auto" w:fill="CCEEFF"/>
          </w:tcPr>
          <w:p>
            <w:pPr>
              <w:ind w:left="420"/>
              <w:spacing w:after="0" w:line="180"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Credit Agreement, dated November 22, 2023, by and among the Borrowers and the Lender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 to the Current Report on Form 8-K filed with the SEC on November 29, 2023, File No. 001-33278).</w:t>
              </w:r>
            </w:hyperlink>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Intellectual Property Agreement between Harris Stratex Networks, Inc. and Harris Corporation dated January 26, 2007 (incorporated</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by reference to Exhibit 10.4 to the Current Report on Form 8-K filed with the SEC on February 1, 2007, File No. 001-33278)</w:t>
              </w:r>
              <w:r>
                <w:rPr>
                  <w:rFonts w:ascii="Times New Roman" w:cs="Times New Roman" w:eastAsia="Times New Roman" w:hAnsi="Times New Roman"/>
                  <w:sz w:val="18"/>
                  <w:szCs w:val="18"/>
                  <w:color w:val="000000"/>
                </w:rPr>
                <w:t>.</w:t>
              </w:r>
            </w:hyperlink>
          </w:p>
        </w:tc>
      </w:tr>
      <w:tr>
        <w:trPr>
          <w:trHeight w:val="180"/>
        </w:trPr>
        <w:tc>
          <w:tcPr>
            <w:tcW w:w="116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10.16</w:t>
            </w:r>
          </w:p>
        </w:tc>
        <w:tc>
          <w:tcPr>
            <w:tcW w:w="10080" w:type="dxa"/>
            <w:vAlign w:val="bottom"/>
            <w:shd w:val="clear" w:color="auto" w:fill="CCEEFF"/>
          </w:tcPr>
          <w:p>
            <w:pPr>
              <w:ind w:left="420"/>
              <w:spacing w:after="0" w:line="180"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Tax Sharing Agreement between Harris Stratex Networks, Inc. and Harris Corporation dated January 26, 2007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 to Exhibit 10.11 to the Current Report on Form 8-K filed with the SEC on February 1, 2007, File No. 001-33278)</w:t>
              </w:r>
              <w:r>
                <w:rPr>
                  <w:rFonts w:ascii="Times New Roman" w:cs="Times New Roman" w:eastAsia="Times New Roman" w:hAnsi="Times New Roman"/>
                  <w:sz w:val="18"/>
                  <w:szCs w:val="18"/>
                  <w:color w:val="000000"/>
                </w:rPr>
                <w:t>.</w:t>
              </w:r>
            </w:hyperlink>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Standard Form of Executive Employment Agreement between Harris Stratex Networks, Inc. and certain executives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 to Exhibit 10.16 to the Current Report on Form 8-K filed with the SEC on February 1, 2007, File No. 001-33278)</w:t>
              </w:r>
              <w:r>
                <w:rPr>
                  <w:rFonts w:ascii="Times New Roman" w:cs="Times New Roman" w:eastAsia="Times New Roman" w:hAnsi="Times New Roman"/>
                  <w:sz w:val="18"/>
                  <w:szCs w:val="18"/>
                  <w:color w:val="000000"/>
                </w:rPr>
                <w:t>.</w:t>
              </w:r>
            </w:hyperlink>
          </w:p>
        </w:tc>
      </w:tr>
      <w:tr>
        <w:trPr>
          <w:trHeight w:val="180"/>
        </w:trPr>
        <w:tc>
          <w:tcPr>
            <w:tcW w:w="116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10.18</w:t>
            </w:r>
          </w:p>
        </w:tc>
        <w:tc>
          <w:tcPr>
            <w:tcW w:w="10080" w:type="dxa"/>
            <w:vAlign w:val="bottom"/>
            <w:shd w:val="clear" w:color="auto" w:fill="CCEEFF"/>
          </w:tcPr>
          <w:p>
            <w:pPr>
              <w:ind w:left="420"/>
              <w:spacing w:after="0" w:line="180"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Letter Agreement, dated as of January 11, 2015, among Aviat Networks, Inc., Steel Partners Holdings L.P., Lone Star Value</w:t>
              </w:r>
            </w:hyperlink>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80" w:type="dxa"/>
            <w:vAlign w:val="bottom"/>
            <w:shd w:val="clear" w:color="auto" w:fill="CCEEFF"/>
          </w:tcPr>
          <w:p>
            <w:pPr>
              <w:ind w:left="420"/>
              <w:spacing w:after="0" w:line="17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Management, LLC and certain other parties (incorporated by reference to Exhibit 10.1 to the Current Report on Form 8-K filed with</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SEC on January 12, 2015, File No. 001-33278)</w:t>
              </w:r>
              <w:r>
                <w:rPr>
                  <w:rFonts w:ascii="Times New Roman" w:cs="Times New Roman" w:eastAsia="Times New Roman" w:hAnsi="Times New Roman"/>
                  <w:sz w:val="18"/>
                  <w:szCs w:val="18"/>
                  <w:color w:val="000000"/>
                </w:rPr>
                <w:t>.</w:t>
              </w:r>
            </w:hyperlink>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Lease Agreement, dated June 8, 2016, between Aviat Networks, Inc., through its wholly owned subsidiary Aviat U.S., Inc., and The</w:t>
              </w:r>
            </w:hyperlink>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Irvine Company LLC (incorporated by reference to Exhibit 10.34 to the Annual Report on Form 10-K for fiscal year end July 1, 2016</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filed with the SEC on September 9, 2016, File No. 001-33278)</w:t>
              </w:r>
              <w:r>
                <w:rPr>
                  <w:rFonts w:ascii="Times New Roman" w:cs="Times New Roman" w:eastAsia="Times New Roman" w:hAnsi="Times New Roman"/>
                  <w:sz w:val="18"/>
                  <w:szCs w:val="18"/>
                  <w:color w:val="000000"/>
                </w:rPr>
                <w:t>.</w:t>
              </w:r>
            </w:hyperlink>
          </w:p>
        </w:tc>
      </w:tr>
      <w:tr>
        <w:trPr>
          <w:trHeight w:val="166"/>
        </w:trPr>
        <w:tc>
          <w:tcPr>
            <w:tcW w:w="1160" w:type="dxa"/>
            <w:vAlign w:val="bottom"/>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10.20+</w:t>
            </w:r>
          </w:p>
        </w:tc>
        <w:tc>
          <w:tcPr>
            <w:tcW w:w="10080" w:type="dxa"/>
            <w:vAlign w:val="bottom"/>
            <w:shd w:val="clear" w:color="auto" w:fill="CCEEFF"/>
          </w:tcPr>
          <w:p>
            <w:pPr>
              <w:ind w:left="420"/>
              <w:spacing w:after="0" w:line="16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Agreement, dated January 2, 2020, between Aviat Networks, Inc. and Peter Smith (incorporated by reference to Exhibit</w:t>
              </w:r>
            </w:hyperlink>
          </w:p>
        </w:tc>
      </w:tr>
      <w:tr>
        <w:trPr>
          <w:trHeight w:val="203"/>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8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10.1 to the Current Report on Form 8-K filed with the SEC on January 2, 2020, File No. 001-33278)</w:t>
              </w:r>
              <w:r>
                <w:rPr>
                  <w:rFonts w:ascii="Times New Roman" w:cs="Times New Roman" w:eastAsia="Times New Roman" w:hAnsi="Times New Roman"/>
                  <w:sz w:val="18"/>
                  <w:szCs w:val="18"/>
                  <w:color w:val="000000"/>
                </w:rPr>
                <w:t>.</w:t>
              </w:r>
            </w:hyperlink>
          </w:p>
        </w:tc>
      </w:tr>
      <w:tr>
        <w:trPr>
          <w:trHeight w:val="175"/>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10.20.1+</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First Amendment to the Employment Agreement between Aviat Networks, Inc. and Peter Smith, dated May 17, 2021 (incorporated</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by reference to Exhibit 10.1 to the Current Report on Form 8-K filed with the SEC on May 18, 2021, File No. 001-33278)</w:t>
              </w:r>
              <w:r>
                <w:rPr>
                  <w:rFonts w:ascii="Times New Roman" w:cs="Times New Roman" w:eastAsia="Times New Roman" w:hAnsi="Times New Roman"/>
                  <w:sz w:val="18"/>
                  <w:szCs w:val="18"/>
                  <w:color w:val="000000"/>
                </w:rPr>
                <w:t>.</w:t>
              </w:r>
            </w:hyperlink>
          </w:p>
        </w:tc>
      </w:tr>
      <w:tr>
        <w:trPr>
          <w:trHeight w:val="202"/>
        </w:trPr>
        <w:tc>
          <w:tcPr>
            <w:tcW w:w="11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10.20.2+</w:t>
            </w:r>
          </w:p>
        </w:tc>
        <w:tc>
          <w:tcPr>
            <w:tcW w:w="1008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Amendment to Employment Agreement, dated July 4, 2021, between the Company and Peter Smith (incorporated by</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8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to Exhibit 10.1 to the Current Report on Form 8-K filed with the SEC on July 7, 2021, File No. 001-33278)</w:t>
              </w:r>
              <w:r>
                <w:rPr>
                  <w:rFonts w:ascii="Times New Roman" w:cs="Times New Roman" w:eastAsia="Times New Roman" w:hAnsi="Times New Roman"/>
                  <w:sz w:val="18"/>
                  <w:szCs w:val="18"/>
                  <w:color w:val="000000"/>
                </w:rPr>
                <w:t>.</w:t>
              </w:r>
            </w:hyperlink>
          </w:p>
        </w:tc>
      </w:tr>
      <w:tr>
        <w:trPr>
          <w:trHeight w:val="25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10.20.3*+</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Employment Agreement, dated April 15, 2024, between the Company and Peter Smith.</w:t>
            </w:r>
          </w:p>
        </w:tc>
      </w:tr>
      <w:tr>
        <w:trPr>
          <w:trHeight w:val="218"/>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shd w:val="clear" w:color="auto" w:fill="CCEEFF"/>
          </w:tcPr>
          <w:p>
            <w:pPr>
              <w:ind w:left="4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Aviat Networks, Inc. Amended and Restated 2018 Incentive Plan (incorporated by reference to Appendix 1 to the Registrant’s Proxy</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8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Statement on Schedule 14A filed with the SEC on September 27, 2021, File No. 001-33278)</w:t>
              </w:r>
              <w:r>
                <w:rPr>
                  <w:rFonts w:ascii="Times New Roman" w:cs="Times New Roman" w:eastAsia="Times New Roman" w:hAnsi="Times New Roman"/>
                  <w:sz w:val="18"/>
                  <w:szCs w:val="18"/>
                  <w:color w:val="000000"/>
                </w:rPr>
                <w:t>.</w:t>
              </w:r>
            </w:hyperlink>
          </w:p>
        </w:tc>
      </w:tr>
      <w:tr>
        <w:trPr>
          <w:trHeight w:val="211"/>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80" w:type="dxa"/>
            <w:vAlign w:val="bottom"/>
          </w:tcPr>
          <w:p>
            <w:pPr>
              <w:ind w:left="4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Employment Agreement, dated September 21, 2021 between the Company and David Gray (incorporated by reference to Exhibit</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10.1 to the Current Report on Form 8-K filed with the SEC on October 18, 2021,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80" w:type="dxa"/>
            <w:vAlign w:val="bottom"/>
          </w:tcPr>
          <w:p>
            <w:pPr>
              <w:spacing w:after="0"/>
              <w:rPr>
                <w:sz w:val="2"/>
                <w:szCs w:val="2"/>
                <w:color w:val="auto"/>
              </w:rPr>
            </w:pPr>
          </w:p>
        </w:tc>
      </w:tr>
      <w:tr>
        <w:trPr>
          <w:trHeight w:val="237"/>
        </w:trPr>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10.22.1*+</w:t>
            </w:r>
          </w:p>
        </w:tc>
        <w:tc>
          <w:tcPr>
            <w:tcW w:w="10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Employment Agreement, dated April 15, 2024, between the Company and David Gray.</w:t>
            </w:r>
          </w:p>
        </w:tc>
      </w:tr>
      <w:tr>
        <w:trPr>
          <w:trHeight w:val="198"/>
        </w:trPr>
        <w:tc>
          <w:tcPr>
            <w:tcW w:w="11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10.22.2+</w:t>
            </w:r>
          </w:p>
        </w:tc>
        <w:tc>
          <w:tcPr>
            <w:tcW w:w="10080" w:type="dxa"/>
            <w:vAlign w:val="bottom"/>
          </w:tcPr>
          <w:p>
            <w:pPr>
              <w:ind w:left="420"/>
              <w:spacing w:after="0" w:line="19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of Employment Agreement and Release Agreement, dated May 28, 2024 between the Company and David Gray</w:t>
              </w:r>
            </w:hyperlink>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Pr>
          <w:p>
            <w:pPr>
              <w:ind w:left="420"/>
              <w:spacing w:after="0" w:line="20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 to the Current Report on Form 8-K filed with the SEC on May 28, 2024, File No. 001-</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33278)</w:t>
              </w:r>
              <w:r>
                <w:rPr>
                  <w:rFonts w:ascii="Times New Roman" w:cs="Times New Roman" w:eastAsia="Times New Roman" w:hAnsi="Times New Roman"/>
                  <w:sz w:val="18"/>
                  <w:szCs w:val="18"/>
                  <w:color w:val="000000"/>
                </w:rPr>
                <w:t>.</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 #</w:t>
            </w:r>
          </w:p>
        </w:tc>
        <w:tc>
          <w:tcPr>
            <w:tcW w:w="10100" w:type="dxa"/>
            <w:vAlign w:val="bottom"/>
          </w:tcPr>
          <w:p>
            <w:pPr>
              <w:ind w:left="4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198"/>
        </w:trPr>
        <w:tc>
          <w:tcPr>
            <w:tcW w:w="11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shd w:val="clear" w:color="auto" w:fill="CCEEFF"/>
          </w:tcPr>
          <w:p>
            <w:pPr>
              <w:ind w:left="440"/>
              <w:spacing w:after="0" w:line="198"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Independent Contractor Agreement dated May 28, 2024 between the Company and David Gray (incorporated by reference to Exhibit</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100" w:type="dxa"/>
            <w:vAlign w:val="bottom"/>
            <w:tcBorders>
              <w:bottom w:val="single" w:sz="8" w:color="CCEEFF"/>
            </w:tcBorders>
            <w:shd w:val="clear" w:color="auto" w:fill="CCEEFF"/>
          </w:tcPr>
          <w:p>
            <w:pPr>
              <w:ind w:left="44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10.2 to the Current Report on Form 8-K filed with the SEC on May 28, 2024, File No. 001-33278)</w:t>
              </w:r>
              <w:r>
                <w:rPr>
                  <w:rFonts w:ascii="Times New Roman" w:cs="Times New Roman" w:eastAsia="Times New Roman" w:hAnsi="Times New Roman"/>
                  <w:sz w:val="18"/>
                  <w:szCs w:val="18"/>
                  <w:color w:val="000000"/>
                </w:rPr>
                <w:t>.</w:t>
              </w:r>
            </w:hyperlink>
          </w:p>
        </w:tc>
      </w:tr>
      <w:tr>
        <w:trPr>
          <w:trHeight w:val="198"/>
        </w:trPr>
        <w:tc>
          <w:tcPr>
            <w:tcW w:w="11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Pr>
          <w:p>
            <w:pPr>
              <w:ind w:left="440"/>
              <w:spacing w:after="0" w:line="198"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Employment Agreement, dated July 1, 2012 between the Company and Bryan Tucker (incorporated by reference to Exhibit 10.12 to</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tcPr>
          <w:p>
            <w:pPr>
              <w:ind w:left="44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Annual Report on Form 10-K for fiscal year end July 1, 2022 filed with the SEC on September 14, 2022,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100" w:type="dxa"/>
            <w:vAlign w:val="bottom"/>
          </w:tcPr>
          <w:p>
            <w:pPr>
              <w:spacing w:after="0"/>
              <w:rPr>
                <w:sz w:val="2"/>
                <w:szCs w:val="2"/>
                <w:color w:val="auto"/>
              </w:rPr>
            </w:pPr>
          </w:p>
        </w:tc>
      </w:tr>
      <w:tr>
        <w:trPr>
          <w:trHeight w:val="175"/>
        </w:trPr>
        <w:tc>
          <w:tcPr>
            <w:tcW w:w="11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10.24.1+</w:t>
            </w:r>
          </w:p>
        </w:tc>
        <w:tc>
          <w:tcPr>
            <w:tcW w:w="10100" w:type="dxa"/>
            <w:vAlign w:val="bottom"/>
            <w:shd w:val="clear" w:color="auto" w:fill="CCEEFF"/>
          </w:tcPr>
          <w:p>
            <w:pPr>
              <w:ind w:left="440"/>
              <w:spacing w:after="0" w:line="17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Letter Agreement amending Employment Agreement dated June 27, 2019, between the Company and Bryan Tucker (incorporated by</w:t>
              </w:r>
            </w:hyperlink>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440"/>
              <w:spacing w:after="0" w:line="17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 to Exhibit 10.12.1 to the Annual Report on Form 10-K for fiscal year end July 1, 2022 filed with the SEC on September 14,</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100" w:type="dxa"/>
            <w:vAlign w:val="bottom"/>
            <w:shd w:val="clear" w:color="auto" w:fill="CCEEFF"/>
          </w:tcPr>
          <w:p>
            <w:pPr>
              <w:ind w:left="44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2022, File No. 001-33278)</w:t>
              </w:r>
              <w:r>
                <w:rPr>
                  <w:rFonts w:ascii="Times New Roman" w:cs="Times New Roman" w:eastAsia="Times New Roman" w:hAnsi="Times New Roman"/>
                  <w:sz w:val="18"/>
                  <w:szCs w:val="18"/>
                  <w:color w:val="000000"/>
                </w:rPr>
                <w:t>.</w:t>
              </w:r>
            </w:hyperlink>
          </w:p>
        </w:tc>
      </w:tr>
      <w:tr>
        <w:trPr>
          <w:trHeight w:val="176"/>
        </w:trPr>
        <w:tc>
          <w:tcPr>
            <w:tcW w:w="1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tcPr>
          <w:p>
            <w:pPr>
              <w:ind w:left="440"/>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Independent Contractor Agreement dated October 3, 2023 between the Company and Bryan Tucker (incorporated by reference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tcPr>
          <w:p>
            <w:pPr>
              <w:ind w:left="44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Exhibit 10.2 to the Current Report on Form 8-K filed with the SEC on October 4, 2023, File No. 001-33278).</w:t>
              </w:r>
            </w:hyperlink>
          </w:p>
        </w:tc>
      </w:tr>
      <w:tr>
        <w:trPr>
          <w:trHeight w:val="234"/>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Employment Agreement, dated April 15, 2024, between the Company and Erin Boase.</w:t>
            </w:r>
          </w:p>
        </w:tc>
      </w:tr>
      <w:tr>
        <w:trPr>
          <w:trHeight w:val="229"/>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Employment Agreement, dated April 15, 2024, between the Company and Gary Croke.</w:t>
            </w:r>
          </w:p>
        </w:tc>
      </w:tr>
      <w:tr>
        <w:trPr>
          <w:trHeight w:val="230"/>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Employment Agreement, dated May 28, 2024, between the Company and Michael Connaway.</w:t>
            </w:r>
          </w:p>
        </w:tc>
      </w:tr>
      <w:tr>
        <w:trPr>
          <w:trHeight w:val="229"/>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Insider Trading Compliance Program and Policy Statement, dated August 22, 2023.</w:t>
            </w:r>
          </w:p>
        </w:tc>
      </w:tr>
      <w:tr>
        <w:trPr>
          <w:trHeight w:val="230"/>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CCEEFF"/>
          </w:tcPr>
          <w:p>
            <w:pPr>
              <w:spacing w:after="0"/>
              <w:rPr>
                <w:sz w:val="19"/>
                <w:szCs w:val="19"/>
                <w:color w:val="auto"/>
              </w:rPr>
            </w:pP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List of Subsidiaries of Aviat Networks, Inc.</w:t>
            </w:r>
          </w:p>
        </w:tc>
      </w:tr>
      <w:tr>
        <w:trPr>
          <w:trHeight w:val="229"/>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29"/>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Consent of BDO USA, P.C.</w:t>
            </w:r>
          </w:p>
        </w:tc>
      </w:tr>
      <w:tr>
        <w:trPr>
          <w:trHeight w:val="230"/>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Rule 13a-14(a)/15d-14(a) Certification of President and Chief Executive Officer</w:t>
            </w:r>
          </w:p>
        </w:tc>
      </w:tr>
      <w:tr>
        <w:trPr>
          <w:trHeight w:val="229"/>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29"/>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230"/>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0000FF"/>
              </w:rPr>
              <w:t>Incentive-Based Compensation Recoupment Policy, dated August 21, 2023.</w:t>
            </w:r>
          </w:p>
        </w:tc>
      </w:tr>
      <w:tr>
        <w:trPr>
          <w:trHeight w:val="229"/>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4"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arrangement or plan required to be filed as an exhibit pursuant to Item 15(b) of this report.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3" w:lineRule="exact"/>
        <w:rPr>
          <w:sz w:val="20"/>
          <w:szCs w:val="20"/>
          <w:color w:val="auto"/>
        </w:rPr>
      </w:pPr>
    </w:p>
    <w:p>
      <w:pPr>
        <w:ind w:left="480" w:right="440" w:hanging="454"/>
        <w:spacing w:after="0" w:line="204"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1" w:lineRule="exact"/>
        <w:rPr>
          <w:sz w:val="20"/>
          <w:szCs w:val="20"/>
          <w:color w:val="auto"/>
        </w:rPr>
      </w:pPr>
    </w:p>
    <w:p>
      <w:pPr>
        <w:ind w:left="480" w:hanging="454"/>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were redacted pursuant to Item 601(b)(2)(ii) of Regulation S-K.</w:t>
      </w:r>
    </w:p>
    <w:p>
      <w:pPr>
        <w:spacing w:after="0" w:line="2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Certain portions of this exhibit were redacted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06" w:name="page107"/>
    <w:bookmarkEnd w:id="106"/>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15,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Peter A. Smith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4"/>
        <w:spacing w:after="0" w:line="265" w:lineRule="auto"/>
        <w:tabs>
          <w:tab w:leader="none" w:pos="11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During the period commencing on the Effective Date and for the duration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(as defined in Section 4 below), the Company shall employ Executive, and Executive shall serve as President and Chief Executive Officer of the Company.</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 and Responsibilities of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spacing w:after="0" w:line="178"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spacing w:after="0" w:line="178" w:lineRule="exact"/>
        <w:rPr>
          <w:rFonts w:ascii="Times New Roman" w:cs="Times New Roman" w:eastAsia="Times New Roman" w:hAnsi="Times New Roman"/>
          <w:sz w:val="22"/>
          <w:szCs w:val="22"/>
          <w:color w:val="auto"/>
        </w:rPr>
      </w:pPr>
    </w:p>
    <w:p>
      <w:pPr>
        <w:jc w:val="both"/>
        <w:ind w:firstLine="1292"/>
        <w:spacing w:after="0" w:line="249" w:lineRule="auto"/>
        <w:tabs>
          <w:tab w:leader="none" w:pos="183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spacing w:after="0" w:line="181"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you will report directly to the Aviat Board of Directors.</w:t>
      </w:r>
    </w:p>
    <w:p>
      <w:pPr>
        <w:spacing w:after="0" w:line="215"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3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Executive’s annualized base salary shall be $650,000.00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pgSz w:w="11900" w:h="16838" w:orient="portrait"/>
          <w:cols w:equalWidth="0" w:num="1">
            <w:col w:w="11120"/>
          </w:cols>
          <w:pgMar w:left="440" w:top="1175" w:right="339" w:bottom="1440" w:gutter="0" w:footer="0" w:header="0"/>
        </w:sectPr>
      </w:pPr>
    </w:p>
    <w:bookmarkStart w:id="107" w:name="page108"/>
    <w:bookmarkEnd w:id="107"/>
    <w:p>
      <w:pPr>
        <w:jc w:val="both"/>
        <w:ind w:left="-644" w:firstLine="1292"/>
        <w:spacing w:after="0" w:line="260" w:lineRule="auto"/>
        <w:tabs>
          <w:tab w:leader="none" w:pos="118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Employment Period, Executive shall be eligible for discretionary bonus compensation for the 2024 fiscal year and each subsequent complete fiscal year that Executive is employed by the Company hereunder (each, a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pursuant to the applicable incentive or bonus compensation plan of the Company, if any, that is applicable to similarly situated executives of the Company (each, an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Each Annual Bonus shall have a target value that is not less than 142% of Executive’s Base Salary as in effect on the first day of the Bonus Year to which such Annual Bonus relates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Target Annual Bonus for the 2024 fiscal year shall have a target value of not less than $923,000. The performance targets that must be achieved in order to realize certain bonus levels shall be established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a committee thereof annually, in its sole discretion, and communicated to Executive in accordance with terms of the applicable incentive or bonus plan, if any, or if no such plan has been adopted, within the first 90 days of each applicable Bonus Year following 2024.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w:t>
      </w:r>
    </w:p>
    <w:p>
      <w:pPr>
        <w:spacing w:after="0" w:line="185" w:lineRule="exact"/>
        <w:rPr>
          <w:rFonts w:ascii="Times New Roman" w:cs="Times New Roman" w:eastAsia="Times New Roman" w:hAnsi="Times New Roman"/>
          <w:sz w:val="21"/>
          <w:szCs w:val="21"/>
          <w:color w:val="auto"/>
        </w:rPr>
      </w:pPr>
    </w:p>
    <w:p>
      <w:pPr>
        <w:jc w:val="both"/>
        <w:ind w:left="-644" w:firstLine="1292"/>
        <w:spacing w:after="0" w:line="249" w:lineRule="auto"/>
        <w:tabs>
          <w:tab w:leader="none" w:pos="118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With respect to the 2024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354% of Executive’s Base Salary as in effect on the first day of such fiscal year (the “</w:t>
      </w:r>
      <w:r>
        <w:rPr>
          <w:rFonts w:ascii="Times New Roman" w:cs="Times New Roman" w:eastAsia="Times New Roman" w:hAnsi="Times New Roman"/>
          <w:sz w:val="22"/>
          <w:szCs w:val="22"/>
          <w:u w:val="single" w:color="auto"/>
          <w:color w:val="auto"/>
        </w:rPr>
        <w:t>Target Annual LTIP Award</w:t>
      </w:r>
      <w:r>
        <w:rPr>
          <w:rFonts w:ascii="Times New Roman" w:cs="Times New Roman" w:eastAsia="Times New Roman" w:hAnsi="Times New Roman"/>
          <w:sz w:val="22"/>
          <w:szCs w:val="22"/>
          <w:color w:val="auto"/>
        </w:rPr>
        <w:t>”).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w:t>
      </w:r>
    </w:p>
    <w:p>
      <w:pPr>
        <w:spacing w:after="0" w:line="177"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current term of Executive’s employment under this Agreement is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Effective Date and ending on the first anniversary of the Effective Date (the “</w:t>
      </w:r>
      <w:r>
        <w:rPr>
          <w:rFonts w:ascii="Times New Roman" w:cs="Times New Roman" w:eastAsia="Times New Roman" w:hAnsi="Times New Roman"/>
          <w:sz w:val="22"/>
          <w:szCs w:val="22"/>
          <w:u w:val="single" w:color="auto"/>
          <w:color w:val="auto"/>
        </w:rPr>
        <w:t>Current Term</w:t>
      </w:r>
      <w:r>
        <w:rPr>
          <w:rFonts w:ascii="Times New Roman" w:cs="Times New Roman" w:eastAsia="Times New Roman" w:hAnsi="Times New Roman"/>
          <w:sz w:val="22"/>
          <w:szCs w:val="22"/>
          <w:color w:val="auto"/>
        </w:rPr>
        <w:t>”). On the first anniversary of the Effective Date and on each subsequent anniversary of the Effective Date, the term of Executive’s employment under this Agreement shall automatically renew and extend for a period of 12 months (each such 12-month period being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ectPr>
          <w:pgSz w:w="11900" w:h="16838" w:orient="portrait"/>
          <w:cols w:equalWidth="0" w:num="1">
            <w:col w:w="10476"/>
          </w:cols>
          <w:pgMar w:left="1084" w:top="1327" w:right="339" w:bottom="1440" w:gutter="0" w:footer="0" w:header="0"/>
        </w:sectPr>
      </w:pPr>
    </w:p>
    <w:bookmarkStart w:id="108" w:name="page109"/>
    <w:bookmarkEnd w:id="108"/>
    <w:p>
      <w:pPr>
        <w:ind w:left="-644" w:firstLine="644"/>
        <w:spacing w:after="0" w:line="275" w:lineRule="auto"/>
        <w:tabs>
          <w:tab w:leader="none" w:pos="5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Business Expenses; Benefits</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entitled to the following reimbursements and benefits during the Employment Period:</w:t>
      </w:r>
    </w:p>
    <w:p>
      <w:pPr>
        <w:spacing w:after="0" w:line="15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xml:space="preserve">. The Company agrees to reimburse Executive for Executive’s reasonable business-related expenses incurred in the performance of Executive’s duties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termination of Executive’s employment with the Company, in no event shall any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spacing w:after="0" w:line="197" w:lineRule="exact"/>
        <w:rPr>
          <w:rFonts w:ascii="Times New Roman" w:cs="Times New Roman" w:eastAsia="Times New Roman" w:hAnsi="Times New Roman"/>
          <w:sz w:val="22"/>
          <w:szCs w:val="22"/>
          <w:color w:val="auto"/>
        </w:rPr>
      </w:pPr>
    </w:p>
    <w:p>
      <w:pPr>
        <w:jc w:val="both"/>
        <w:ind w:left="-644" w:firstLine="1292"/>
        <w:spacing w:after="0" w:line="251" w:lineRule="auto"/>
        <w:tabs>
          <w:tab w:leader="none" w:pos="118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pacing w:after="0" w:line="177" w:lineRule="exact"/>
        <w:rPr>
          <w:rFonts w:ascii="Times New Roman" w:cs="Times New Roman" w:eastAsia="Times New Roman" w:hAnsi="Times New Roman"/>
          <w:sz w:val="22"/>
          <w:szCs w:val="22"/>
          <w:color w:val="auto"/>
        </w:rPr>
      </w:pPr>
    </w:p>
    <w:p>
      <w:pPr>
        <w:ind w:left="536" w:hanging="536"/>
        <w:spacing w:after="0"/>
        <w:tabs>
          <w:tab w:leader="none" w:pos="5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44" w:right="20" w:firstLine="1292"/>
        <w:spacing w:after="0" w:line="271" w:lineRule="auto"/>
        <w:tabs>
          <w:tab w:leader="none" w:pos="118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Executive’s Employment for Cause</w:t>
      </w:r>
      <w:r>
        <w:rPr>
          <w:rFonts w:ascii="Times New Roman" w:cs="Times New Roman" w:eastAsia="Times New Roman" w:hAnsi="Times New Roman"/>
          <w:sz w:val="22"/>
          <w:szCs w:val="22"/>
          <w:color w:val="auto"/>
        </w:rPr>
        <w:t>. The Company shall have the right to terminate Executive’s employment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w:t>
      </w:r>
    </w:p>
    <w:p>
      <w:pPr>
        <w:spacing w:after="0" w:line="157" w:lineRule="exact"/>
        <w:rPr>
          <w:rFonts w:ascii="Times New Roman" w:cs="Times New Roman" w:eastAsia="Times New Roman" w:hAnsi="Times New Roman"/>
          <w:sz w:val="22"/>
          <w:szCs w:val="22"/>
          <w:color w:val="auto"/>
        </w:rPr>
      </w:pPr>
    </w:p>
    <w:p>
      <w:pPr>
        <w:ind w:left="-4" w:firstLine="1186"/>
        <w:spacing w:after="0" w:line="271" w:lineRule="auto"/>
        <w:tabs>
          <w:tab w:leader="none" w:pos="1832"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policy established by the Company or any of its Affiliates including but not limited to policies regarding bribery and harassment and any other policies applicable to Executive;</w:t>
      </w:r>
    </w:p>
    <w:p>
      <w:pPr>
        <w:spacing w:after="0" w:line="171" w:lineRule="exact"/>
        <w:rPr>
          <w:rFonts w:ascii="Times New Roman" w:cs="Times New Roman" w:eastAsia="Times New Roman" w:hAnsi="Times New Roman"/>
          <w:sz w:val="22"/>
          <w:szCs w:val="22"/>
          <w:color w:val="auto"/>
        </w:rPr>
      </w:pPr>
    </w:p>
    <w:p>
      <w:pPr>
        <w:ind w:left="-4" w:firstLine="1126"/>
        <w:spacing w:after="0" w:line="271" w:lineRule="auto"/>
        <w:tabs>
          <w:tab w:leader="none" w:pos="1832"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acts of disloyalty to the Company or its Affiliates, including fraud, embezzlement, theft, commission of a felony, or proven dishonesty; or</w:t>
      </w:r>
    </w:p>
    <w:p>
      <w:pPr>
        <w:spacing w:after="0" w:line="157" w:lineRule="exact"/>
        <w:rPr>
          <w:rFonts w:ascii="Times New Roman" w:cs="Times New Roman" w:eastAsia="Times New Roman" w:hAnsi="Times New Roman"/>
          <w:sz w:val="22"/>
          <w:szCs w:val="22"/>
          <w:color w:val="auto"/>
        </w:rPr>
      </w:pPr>
    </w:p>
    <w:p>
      <w:pPr>
        <w:ind w:left="-4" w:firstLine="1065"/>
        <w:spacing w:after="0" w:line="271" w:lineRule="auto"/>
        <w:tabs>
          <w:tab w:leader="none" w:pos="1832"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in the performance of, or willful failure to perform a material function of, Executive’s duties under this Agreement.</w:t>
      </w:r>
    </w:p>
    <w:p>
      <w:pPr>
        <w:spacing w:after="0" w:line="157" w:lineRule="exact"/>
        <w:rPr>
          <w:rFonts w:ascii="Times New Roman" w:cs="Times New Roman" w:eastAsia="Times New Roman" w:hAnsi="Times New Roman"/>
          <w:sz w:val="22"/>
          <w:szCs w:val="22"/>
          <w:color w:val="auto"/>
        </w:rPr>
      </w:pPr>
    </w:p>
    <w:p>
      <w:pPr>
        <w:ind w:left="-644" w:firstLine="1292"/>
        <w:spacing w:after="0" w:line="284" w:lineRule="auto"/>
        <w:tabs>
          <w:tab w:leader="none" w:pos="118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for Convenience</w:t>
      </w:r>
      <w:r>
        <w:rPr>
          <w:rFonts w:ascii="Times New Roman" w:cs="Times New Roman" w:eastAsia="Times New Roman" w:hAnsi="Times New Roman"/>
          <w:sz w:val="22"/>
          <w:szCs w:val="22"/>
          <w:color w:val="auto"/>
        </w:rPr>
        <w:t>. The Company shall have the right to terminate Executive’s employment without Cause, with or without notice, at any time and for any reason or no reason at all.</w:t>
      </w:r>
    </w:p>
    <w:p>
      <w:pPr>
        <w:sectPr>
          <w:pgSz w:w="11900" w:h="16838" w:orient="portrait"/>
          <w:cols w:equalWidth="0" w:num="1">
            <w:col w:w="10476"/>
          </w:cols>
          <w:pgMar w:left="1084" w:top="1323" w:right="339" w:bottom="1440" w:gutter="0" w:footer="0" w:header="0"/>
        </w:sectPr>
      </w:pPr>
    </w:p>
    <w:bookmarkStart w:id="109" w:name="page110"/>
    <w:bookmarkEnd w:id="109"/>
    <w:p>
      <w:pPr>
        <w:ind w:firstLine="1292"/>
        <w:spacing w:after="0" w:line="271" w:lineRule="auto"/>
        <w:tabs>
          <w:tab w:leader="none" w:pos="183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Right to Terminate for Good Reason</w:t>
      </w:r>
      <w:r>
        <w:rPr>
          <w:rFonts w:ascii="Times New Roman" w:cs="Times New Roman" w:eastAsia="Times New Roman" w:hAnsi="Times New Roman"/>
          <w:sz w:val="22"/>
          <w:szCs w:val="22"/>
          <w:color w:val="auto"/>
        </w:rPr>
        <w:t>. Executive shall have the right to terminate Executive’s employment with the Company at any time for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57" w:lineRule="exact"/>
        <w:rPr>
          <w:rFonts w:ascii="Times New Roman" w:cs="Times New Roman" w:eastAsia="Times New Roman" w:hAnsi="Times New Roman"/>
          <w:sz w:val="22"/>
          <w:szCs w:val="22"/>
          <w:color w:val="auto"/>
        </w:rPr>
      </w:pPr>
    </w:p>
    <w:p>
      <w:pPr>
        <w:ind w:left="2480" w:hanging="654"/>
        <w:spacing w:after="0"/>
        <w:tabs>
          <w:tab w:leader="none" w:pos="24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title, or responsibilities;</w:t>
      </w:r>
    </w:p>
    <w:p>
      <w:pPr>
        <w:spacing w:after="0" w:line="233" w:lineRule="exact"/>
        <w:rPr>
          <w:rFonts w:ascii="Times New Roman" w:cs="Times New Roman" w:eastAsia="Times New Roman" w:hAnsi="Times New Roman"/>
          <w:sz w:val="22"/>
          <w:szCs w:val="22"/>
          <w:color w:val="auto"/>
        </w:rPr>
      </w:pPr>
    </w:p>
    <w:p>
      <w:pPr>
        <w:ind w:left="2480" w:hanging="714"/>
        <w:spacing w:after="0"/>
        <w:tabs>
          <w:tab w:leader="none" w:pos="24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Target Annual Bonus, or Target Annual LTIP</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195" w:lineRule="exact"/>
        <w:rPr>
          <w:rFonts w:ascii="Times New Roman" w:cs="Times New Roman" w:eastAsia="Times New Roman" w:hAnsi="Times New Roman"/>
          <w:sz w:val="22"/>
          <w:szCs w:val="22"/>
          <w:color w:val="auto"/>
        </w:rPr>
      </w:pPr>
    </w:p>
    <w:p>
      <w:pPr>
        <w:ind w:left="640" w:firstLine="1066"/>
        <w:spacing w:after="0" w:line="271" w:lineRule="auto"/>
        <w:tabs>
          <w:tab w:leader="none" w:pos="247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geographic location of Executive’s principal place of employment by more than 100 miles from the location of Executive’s principal place of employment as of the Effective Date; or</w:t>
      </w:r>
    </w:p>
    <w:p>
      <w:pPr>
        <w:spacing w:after="0" w:line="157" w:lineRule="exact"/>
        <w:rPr>
          <w:rFonts w:ascii="Times New Roman" w:cs="Times New Roman" w:eastAsia="Times New Roman" w:hAnsi="Times New Roman"/>
          <w:sz w:val="22"/>
          <w:szCs w:val="22"/>
          <w:color w:val="auto"/>
        </w:rPr>
      </w:pPr>
    </w:p>
    <w:p>
      <w:pPr>
        <w:ind w:left="2460" w:hanging="742"/>
        <w:spacing w:after="0"/>
        <w:tabs>
          <w:tab w:leader="none" w:pos="24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of a written notice of non-renewal of this Agreement to Executive.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spacing w:after="0" w:line="179" w:lineRule="exact"/>
        <w:rPr>
          <w:sz w:val="20"/>
          <w:szCs w:val="20"/>
          <w:color w:val="auto"/>
        </w:rPr>
      </w:pPr>
    </w:p>
    <w:p>
      <w:pPr>
        <w:jc w:val="both"/>
        <w:ind w:firstLine="1292"/>
        <w:spacing w:after="0" w:line="248" w:lineRule="auto"/>
        <w:tabs>
          <w:tab w:leader="none" w:pos="18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with the Company shall terminate upon the death or Disability of Executive.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w:t>
      </w:r>
    </w:p>
    <w:p>
      <w:pPr>
        <w:spacing w:after="0" w:line="185" w:lineRule="exact"/>
        <w:rPr>
          <w:rFonts w:ascii="Times New Roman" w:cs="Times New Roman" w:eastAsia="Times New Roman" w:hAnsi="Times New Roman"/>
          <w:sz w:val="22"/>
          <w:szCs w:val="22"/>
          <w:color w:val="auto"/>
        </w:rPr>
      </w:pPr>
    </w:p>
    <w:p>
      <w:pPr>
        <w:jc w:val="both"/>
        <w:ind w:firstLine="1292"/>
        <w:spacing w:after="0" w:line="268" w:lineRule="auto"/>
        <w:tabs>
          <w:tab w:leader="none" w:pos="183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Right to Terminate for Convenience</w:t>
      </w:r>
      <w:r>
        <w:rPr>
          <w:rFonts w:ascii="Times New Roman" w:cs="Times New Roman" w:eastAsia="Times New Roman" w:hAnsi="Times New Roman"/>
          <w:sz w:val="21"/>
          <w:szCs w:val="21"/>
          <w:color w:val="auto"/>
        </w:rPr>
        <w:t xml:space="preserve">. Executive shall have the right to terminate Executive’s employment with the Company for convenience at any time upon 60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sectPr>
          <w:pgSz w:w="11900" w:h="16838" w:orient="portrait"/>
          <w:cols w:equalWidth="0" w:num="1">
            <w:col w:w="11120"/>
          </w:cols>
          <w:pgMar w:left="440" w:top="1327" w:right="339" w:bottom="1440" w:gutter="0" w:footer="0" w:header="0"/>
        </w:sectPr>
      </w:pPr>
    </w:p>
    <w:bookmarkStart w:id="110" w:name="page111"/>
    <w:bookmarkEnd w:id="110"/>
    <w:p>
      <w:pPr>
        <w:spacing w:after="0" w:line="131" w:lineRule="exact"/>
        <w:rPr>
          <w:sz w:val="20"/>
          <w:szCs w:val="20"/>
          <w:color w:val="auto"/>
        </w:rPr>
      </w:pPr>
    </w:p>
    <w:p>
      <w:pPr>
        <w:ind w:left="840" w:hanging="548"/>
        <w:spacing w:after="0"/>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60" w:firstLine="1185"/>
        <w:spacing w:after="0" w:line="249" w:lineRule="auto"/>
        <w:tabs>
          <w:tab w:leader="none" w:pos="147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spacing w:after="0" w:line="183" w:lineRule="exact"/>
        <w:rPr>
          <w:rFonts w:ascii="Times New Roman" w:cs="Times New Roman" w:eastAsia="Times New Roman" w:hAnsi="Times New Roman"/>
          <w:sz w:val="22"/>
          <w:szCs w:val="22"/>
          <w:color w:val="auto"/>
        </w:rPr>
      </w:pPr>
    </w:p>
    <w:p>
      <w:pPr>
        <w:jc w:val="both"/>
        <w:ind w:left="-360" w:firstLine="1126"/>
        <w:spacing w:after="0" w:line="249" w:lineRule="auto"/>
        <w:tabs>
          <w:tab w:leader="none" w:pos="147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abides by the terms of Sections 7, 8, 9, 10, and 12:</w:t>
      </w:r>
    </w:p>
    <w:p>
      <w:pPr>
        <w:spacing w:after="0" w:line="195"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213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 amount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equal to the product of (x) 1.0 (or, if such termination occurs within three months preceeding or 12 months following a Change in Control (as defined below), 1.5) and (y) the sum of Executive’s Base Salary as in effect on the date of the termination of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Executive’s prorated Annual Bonus as of the Termination Date (or, if such termination occurs within three months preceeding or 12 months following a Change in Control, 1.5 the target bonus). The Severance Payment will be paid in a lump sum, subject to all applicable taxes on or before the Company’s first regularly scheduled pay date that is on or after the date that is 60 days after the Termination Date.</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53" w:lineRule="auto"/>
        <w:tabs>
          <w:tab w:leader="none" w:pos="2132"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sectPr>
          <w:pgSz w:w="11900" w:h="16838" w:orient="portrait"/>
          <w:cols w:equalWidth="0" w:num="1">
            <w:col w:w="10120"/>
          </w:cols>
          <w:pgMar w:left="1440" w:top="1440" w:right="339" w:bottom="1440" w:gutter="0" w:footer="0" w:header="0"/>
        </w:sectPr>
      </w:pPr>
    </w:p>
    <w:bookmarkStart w:id="111" w:name="page112"/>
    <w:bookmarkEnd w:id="111"/>
    <w:p>
      <w:pPr>
        <w:jc w:val="both"/>
        <w:ind w:left="660" w:firstLine="1288"/>
        <w:spacing w:after="0" w:line="247" w:lineRule="auto"/>
        <w:tabs>
          <w:tab w:leader="none" w:pos="249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used herein,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xml:space="preserve">”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COBRA Continuation Period shall immediately terminate upon the earlier of (1) the time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spacing w:after="0" w:line="172" w:lineRule="exact"/>
        <w:rPr>
          <w:sz w:val="20"/>
          <w:szCs w:val="20"/>
          <w:color w:val="auto"/>
        </w:rPr>
      </w:pPr>
    </w:p>
    <w:p>
      <w:pPr>
        <w:jc w:val="both"/>
        <w:ind w:firstLine="1066"/>
        <w:spacing w:after="0" w:line="265" w:lineRule="auto"/>
        <w:tabs>
          <w:tab w:leader="none" w:pos="183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21 days following the date upon which the Company delivers the Release to Executive (which shall occur no later than seven days after the Termination Date) or, in the event that such termination of employment is “in connection with an exit incentive or other</w:t>
      </w:r>
    </w:p>
    <w:p>
      <w:pPr>
        <w:sectPr>
          <w:pgSz w:w="11900" w:h="16838" w:orient="portrait"/>
          <w:cols w:equalWidth="0" w:num="1">
            <w:col w:w="10480"/>
          </w:cols>
          <w:pgMar w:left="1080" w:top="1327" w:right="339" w:bottom="1440" w:gutter="0" w:footer="0" w:header="0"/>
        </w:sectPr>
      </w:pPr>
    </w:p>
    <w:bookmarkStart w:id="112" w:name="page113"/>
    <w:bookmarkEnd w:id="112"/>
    <w:p>
      <w:pPr>
        <w:spacing w:after="0" w:line="271" w:lineRule="auto"/>
        <w:rPr>
          <w:sz w:val="20"/>
          <w:szCs w:val="20"/>
          <w:color w:val="auto"/>
        </w:rPr>
      </w:pPr>
      <w:r>
        <w:rPr>
          <w:rFonts w:ascii="Times New Roman" w:cs="Times New Roman" w:eastAsia="Times New Roman" w:hAnsi="Times New Roman"/>
          <w:sz w:val="22"/>
          <w:szCs w:val="22"/>
          <w:color w:val="auto"/>
        </w:rPr>
        <w:t>employment termination program” (as such phrase is defined in the Age Discrimination in Employment Act of 1967, as amended), the date that is 45 days following such delivery date.</w:t>
      </w:r>
    </w:p>
    <w:p>
      <w:pPr>
        <w:spacing w:after="0" w:line="158" w:lineRule="exact"/>
        <w:rPr>
          <w:sz w:val="20"/>
          <w:szCs w:val="20"/>
          <w:color w:val="auto"/>
        </w:rPr>
      </w:pPr>
    </w:p>
    <w:p>
      <w:pPr>
        <w:ind w:firstLine="1078"/>
        <w:spacing w:after="0" w:line="284" w:lineRule="auto"/>
        <w:tabs>
          <w:tab w:leader="none" w:pos="182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one or more of the following transactions following the Effective Date:</w:t>
      </w:r>
    </w:p>
    <w:p>
      <w:pPr>
        <w:spacing w:after="0" w:line="143" w:lineRule="exact"/>
        <w:rPr>
          <w:rFonts w:ascii="Times New Roman" w:cs="Times New Roman" w:eastAsia="Times New Roman" w:hAnsi="Times New Roman"/>
          <w:sz w:val="22"/>
          <w:szCs w:val="22"/>
          <w:color w:val="auto"/>
        </w:rPr>
      </w:pPr>
    </w:p>
    <w:p>
      <w:pPr>
        <w:ind w:left="660" w:firstLine="1288"/>
        <w:spacing w:after="0" w:line="271" w:lineRule="auto"/>
        <w:tabs>
          <w:tab w:leader="none" w:pos="2490"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disposal by the Company of all or substantially all of its assets to any person other than an Affiliate of the Company;</w:t>
      </w:r>
    </w:p>
    <w:p>
      <w:pPr>
        <w:spacing w:after="0" w:line="157" w:lineRule="exact"/>
        <w:rPr>
          <w:rFonts w:ascii="Times New Roman" w:cs="Times New Roman" w:eastAsia="Times New Roman" w:hAnsi="Times New Roman"/>
          <w:sz w:val="22"/>
          <w:szCs w:val="22"/>
          <w:color w:val="auto"/>
        </w:rPr>
      </w:pPr>
    </w:p>
    <w:p>
      <w:pPr>
        <w:jc w:val="both"/>
        <w:ind w:left="660" w:right="20" w:firstLine="1288"/>
        <w:spacing w:after="0" w:line="257" w:lineRule="auto"/>
        <w:tabs>
          <w:tab w:leader="none" w:pos="2492"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spacing w:after="0" w:line="186" w:lineRule="exact"/>
        <w:rPr>
          <w:rFonts w:ascii="Times New Roman" w:cs="Times New Roman" w:eastAsia="Times New Roman" w:hAnsi="Times New Roman"/>
          <w:sz w:val="22"/>
          <w:szCs w:val="22"/>
          <w:color w:val="auto"/>
        </w:rPr>
      </w:pPr>
    </w:p>
    <w:p>
      <w:pPr>
        <w:jc w:val="both"/>
        <w:ind w:left="660" w:firstLine="1288"/>
        <w:spacing w:after="0" w:line="252" w:lineRule="auto"/>
        <w:tabs>
          <w:tab w:leader="none" w:pos="2492"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group (as defined in Section 13d(d)(3)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of the beneficial ownership (as defined in Section 13d(d)(3) of the Exchange Act) of more than 50% of the equity of the Company entitled to vote in the election of the Company’s directors (or the persons performing the functions of directors).</w:t>
      </w:r>
    </w:p>
    <w:p>
      <w:pPr>
        <w:spacing w:after="0" w:line="179"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Meaning of Termination of Employment</w:t>
      </w:r>
      <w:r>
        <w:rPr>
          <w:rFonts w:ascii="Times New Roman" w:cs="Times New Roman" w:eastAsia="Times New Roman" w:hAnsi="Times New Roman"/>
          <w:sz w:val="22"/>
          <w:szCs w:val="22"/>
          <w:color w:val="auto"/>
        </w:rPr>
        <w:t>. For all purposes of this Agreement, Executive shall be considered to have terminated employment with the Company when Executive incurs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with the Company within the meaning of Section 409A(a)(2)(A)(i)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spacing w:after="0" w:line="190" w:lineRule="exact"/>
        <w:rPr>
          <w:rFonts w:ascii="Times New Roman" w:cs="Times New Roman" w:eastAsia="Times New Roman" w:hAnsi="Times New Roman"/>
          <w:sz w:val="22"/>
          <w:szCs w:val="22"/>
          <w:color w:val="auto"/>
        </w:rPr>
      </w:pPr>
    </w:p>
    <w:p>
      <w:pPr>
        <w:ind w:left="-640" w:firstLine="644"/>
        <w:spacing w:after="0" w:line="275" w:lineRule="auto"/>
        <w:tabs>
          <w:tab w:leader="none" w:pos="5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 Disclosure of Opportunities</w:t>
      </w:r>
      <w:r>
        <w:rPr>
          <w:rFonts w:ascii="Times New Roman" w:cs="Times New Roman" w:eastAsia="Times New Roman" w:hAnsi="Times New Roman"/>
          <w:sz w:val="22"/>
          <w:szCs w:val="22"/>
          <w:color w:val="auto"/>
        </w:rPr>
        <w:t>. Executive agrees that Executive shall promptly disclose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any conflict of interest involving Executive upon Executive becoming aware of such conflict.</w:t>
      </w:r>
    </w:p>
    <w:p>
      <w:pPr>
        <w:spacing w:after="0" w:line="149" w:lineRule="exact"/>
        <w:rPr>
          <w:rFonts w:ascii="Times New Roman" w:cs="Times New Roman" w:eastAsia="Times New Roman" w:hAnsi="Times New Roman"/>
          <w:sz w:val="22"/>
          <w:szCs w:val="22"/>
          <w:color w:val="auto"/>
        </w:rPr>
      </w:pPr>
    </w:p>
    <w:p>
      <w:pPr>
        <w:jc w:val="both"/>
        <w:ind w:left="-640" w:firstLine="644"/>
        <w:spacing w:after="0" w:line="254" w:lineRule="auto"/>
        <w:tabs>
          <w:tab w:leader="none" w:pos="5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in the course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spacing w:after="0" w:line="177"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w:t>
      </w:r>
    </w:p>
    <w:p>
      <w:pPr>
        <w:sectPr>
          <w:pgSz w:w="11900" w:h="16838" w:orient="portrait"/>
          <w:cols w:equalWidth="0" w:num="1">
            <w:col w:w="10480"/>
          </w:cols>
          <w:pgMar w:left="1080" w:top="132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Information, whether now known or later to become known to Executive during the Employment Period.</w:t>
      </w:r>
    </w:p>
    <w:p>
      <w:pPr>
        <w:spacing w:after="0" w:line="220" w:lineRule="exact"/>
        <w:rPr>
          <w:sz w:val="20"/>
          <w:szCs w:val="20"/>
          <w:color w:val="auto"/>
        </w:rPr>
      </w:pPr>
    </w:p>
    <w:p>
      <w:pPr>
        <w:ind w:left="1820" w:hanging="528"/>
        <w:spacing w:after="0"/>
        <w:tabs>
          <w:tab w:leader="none" w:pos="18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8(a), Executive may make the following disclosures and uses of 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209" w:lineRule="exact"/>
        <w:rPr>
          <w:sz w:val="20"/>
          <w:szCs w:val="20"/>
          <w:color w:val="auto"/>
        </w:rPr>
      </w:pPr>
    </w:p>
    <w:p>
      <w:pPr>
        <w:ind w:left="640" w:firstLine="1186"/>
        <w:spacing w:after="0" w:line="271" w:lineRule="auto"/>
        <w:tabs>
          <w:tab w:leader="none" w:pos="2476"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executives or employees of the Company or its Affiliates who have a need to know the information in connection with the business of the Company or its Affiliates;</w:t>
      </w:r>
    </w:p>
    <w:p>
      <w:pPr>
        <w:spacing w:after="0" w:line="157" w:lineRule="exact"/>
        <w:rPr>
          <w:rFonts w:ascii="Times New Roman" w:cs="Times New Roman" w:eastAsia="Times New Roman" w:hAnsi="Times New Roman"/>
          <w:sz w:val="22"/>
          <w:szCs w:val="22"/>
          <w:color w:val="auto"/>
        </w:rPr>
      </w:pPr>
    </w:p>
    <w:p>
      <w:pPr>
        <w:ind w:left="640" w:right="20" w:firstLine="1126"/>
        <w:spacing w:after="0" w:line="271" w:lineRule="auto"/>
        <w:tabs>
          <w:tab w:leader="none" w:pos="2476"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incidental to Executive’s provision of services to the Company and its Affiliates consistent with the terms of this Agreement or that are approved by the Board;</w:t>
      </w:r>
    </w:p>
    <w:p>
      <w:pPr>
        <w:spacing w:after="0" w:line="157"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for the purpose of complying with any applicable laws or regulatory requirements; or</w:t>
      </w:r>
    </w:p>
    <w:p>
      <w:pPr>
        <w:spacing w:after="0" w:line="219" w:lineRule="exact"/>
        <w:rPr>
          <w:rFonts w:ascii="Times New Roman" w:cs="Times New Roman" w:eastAsia="Times New Roman" w:hAnsi="Times New Roman"/>
          <w:sz w:val="22"/>
          <w:szCs w:val="22"/>
          <w:color w:val="auto"/>
        </w:rPr>
      </w:pPr>
    </w:p>
    <w:p>
      <w:pPr>
        <w:jc w:val="both"/>
        <w:ind w:left="640" w:firstLine="1078"/>
        <w:spacing w:after="0" w:line="263" w:lineRule="auto"/>
        <w:tabs>
          <w:tab w:leader="none" w:pos="246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that Executive is legally compelled to make by deposition, interrogatory, request for documents, subpoena, civil investigative demand, order of a court of competent jurisdiction, or similar process, or otherwise by law.</w:t>
      </w:r>
    </w:p>
    <w:p>
      <w:pPr>
        <w:spacing w:after="0" w:line="167"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spacing w:after="0" w:line="178"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sectPr>
          <w:pgSz w:w="11900" w:h="16838" w:orient="portrait"/>
          <w:cols w:equalWidth="0" w:num="1">
            <w:col w:w="11120"/>
          </w:cols>
          <w:pgMar w:left="440" w:top="1327" w:right="339" w:bottom="1440" w:gutter="0" w:footer="0" w:header="0"/>
        </w:sectPr>
      </w:pPr>
    </w:p>
    <w:bookmarkStart w:id="114" w:name="page115"/>
    <w:bookmarkEnd w:id="114"/>
    <w:p>
      <w:pPr>
        <w:jc w:val="both"/>
        <w:ind w:left="-644" w:firstLine="1292"/>
        <w:spacing w:after="0" w:line="260" w:lineRule="auto"/>
        <w:tabs>
          <w:tab w:leader="none" w:pos="118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21"/>
          <w:szCs w:val="21"/>
          <w:u w:val="single" w:color="auto"/>
          <w:color w:val="auto"/>
        </w:rPr>
        <w:t>Governmental Authorities</w:t>
      </w:r>
      <w:r>
        <w:rPr>
          <w:rFonts w:ascii="Times New Roman" w:cs="Times New Roman" w:eastAsia="Times New Roman" w:hAnsi="Times New Roman"/>
          <w:sz w:val="21"/>
          <w:szCs w:val="21"/>
          <w:color w:val="auto"/>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pacing w:after="0" w:line="181" w:lineRule="exact"/>
        <w:rPr>
          <w:rFonts w:ascii="Times New Roman" w:cs="Times New Roman" w:eastAsia="Times New Roman" w:hAnsi="Times New Roman"/>
          <w:sz w:val="21"/>
          <w:szCs w:val="21"/>
          <w:color w:val="auto"/>
        </w:rPr>
      </w:pPr>
    </w:p>
    <w:p>
      <w:pPr>
        <w:ind w:left="536" w:hanging="536"/>
        <w:spacing w:after="0"/>
        <w:tabs>
          <w:tab w:leader="none" w:pos="5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spacing w:after="0" w:line="185"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the period set forth in Section 9(c) below, Executive shall not, without the prior written approval of the Company, directly or indirectly, for Executive or on behalf of or in conjunction with any other person or entity of whatever nature:</w:t>
      </w:r>
    </w:p>
    <w:p>
      <w:pPr>
        <w:spacing w:after="0" w:line="167" w:lineRule="exact"/>
        <w:rPr>
          <w:rFonts w:ascii="Times New Roman" w:cs="Times New Roman" w:eastAsia="Times New Roman" w:hAnsi="Times New Roman"/>
          <w:sz w:val="22"/>
          <w:szCs w:val="22"/>
          <w:color w:val="auto"/>
        </w:rPr>
      </w:pPr>
    </w:p>
    <w:p>
      <w:pPr>
        <w:jc w:val="both"/>
        <w:ind w:left="-4" w:firstLine="1186"/>
        <w:spacing w:after="0" w:line="250" w:lineRule="auto"/>
        <w:tabs>
          <w:tab w:leader="none" w:pos="183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Protected Affiliates</w:t>
      </w:r>
      <w:r>
        <w:rPr>
          <w:rFonts w:ascii="Times New Roman" w:cs="Times New Roman" w:eastAsia="Times New Roman" w:hAnsi="Times New Roman"/>
          <w:sz w:val="22"/>
          <w:szCs w:val="22"/>
          <w:color w:val="auto"/>
        </w:rPr>
        <w:t>” means any Affiliate of the Company for which Executive provided services during the period of Executive’s employment with the Company, or about which Executive obtained Confidential Information during the period of Executive’s employment with the Company.</w:t>
      </w:r>
    </w:p>
    <w:p>
      <w:pPr>
        <w:sectPr>
          <w:pgSz w:w="11900" w:h="16838" w:orient="portrait"/>
          <w:cols w:equalWidth="0" w:num="1">
            <w:col w:w="10476"/>
          </w:cols>
          <w:pgMar w:left="1084" w:top="1327" w:right="339" w:bottom="1440" w:gutter="0" w:footer="0" w:header="0"/>
        </w:sectPr>
      </w:pPr>
    </w:p>
    <w:bookmarkStart w:id="115" w:name="page116"/>
    <w:bookmarkEnd w:id="115"/>
    <w:p>
      <w:pPr>
        <w:jc w:val="both"/>
        <w:ind w:left="640" w:firstLine="1126"/>
        <w:spacing w:after="0" w:line="256" w:lineRule="auto"/>
        <w:tabs>
          <w:tab w:leader="none" w:pos="247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spacing w:after="0" w:line="176"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employee of the Company or its Affiliates to terminate his or her employment therewith.</w:t>
      </w:r>
    </w:p>
    <w:p>
      <w:pPr>
        <w:spacing w:after="0" w:line="231" w:lineRule="exact"/>
        <w:rPr>
          <w:rFonts w:ascii="Times New Roman" w:cs="Times New Roman" w:eastAsia="Times New Roman" w:hAnsi="Times New Roman"/>
          <w:sz w:val="21"/>
          <w:szCs w:val="21"/>
          <w:color w:val="auto"/>
        </w:rPr>
      </w:pPr>
    </w:p>
    <w:p>
      <w:pPr>
        <w:jc w:val="both"/>
        <w:ind w:firstLine="1292"/>
        <w:spacing w:after="0" w:line="257" w:lineRule="auto"/>
        <w:tabs>
          <w:tab w:leader="none" w:pos="183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Timeframe of Non-Competition and Non-Solicitation Agreement</w:t>
      </w:r>
      <w:r>
        <w:rPr>
          <w:rFonts w:ascii="Times New Roman" w:cs="Times New Roman" w:eastAsia="Times New Roman" w:hAnsi="Times New Roman"/>
          <w:sz w:val="22"/>
          <w:szCs w:val="22"/>
          <w:color w:val="auto"/>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spacing w:after="0" w:line="172" w:lineRule="exact"/>
        <w:rPr>
          <w:rFonts w:ascii="Times New Roman" w:cs="Times New Roman" w:eastAsia="Times New Roman" w:hAnsi="Times New Roman"/>
          <w:sz w:val="22"/>
          <w:szCs w:val="22"/>
          <w:color w:val="auto"/>
        </w:rPr>
      </w:pPr>
    </w:p>
    <w:p>
      <w:pPr>
        <w:jc w:val="both"/>
        <w:ind w:firstLine="1292"/>
        <w:spacing w:after="0" w:line="265" w:lineRule="auto"/>
        <w:tabs>
          <w:tab w:leader="none" w:pos="183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spacing w:after="0" w:line="182" w:lineRule="exact"/>
        <w:rPr>
          <w:rFonts w:ascii="Times New Roman" w:cs="Times New Roman" w:eastAsia="Times New Roman" w:hAnsi="Times New Roman"/>
          <w:sz w:val="21"/>
          <w:szCs w:val="21"/>
          <w:color w:val="auto"/>
        </w:rPr>
      </w:pPr>
    </w:p>
    <w:p>
      <w:pPr>
        <w:jc w:val="both"/>
        <w:ind w:firstLine="1292"/>
        <w:spacing w:after="0" w:line="250" w:lineRule="auto"/>
        <w:tabs>
          <w:tab w:leader="none" w:pos="183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spacing w:after="0" w:line="194" w:lineRule="exact"/>
        <w:rPr>
          <w:rFonts w:ascii="Times New Roman" w:cs="Times New Roman" w:eastAsia="Times New Roman" w:hAnsi="Times New Roman"/>
          <w:sz w:val="22"/>
          <w:szCs w:val="22"/>
          <w:color w:val="auto"/>
        </w:rPr>
      </w:pPr>
    </w:p>
    <w:p>
      <w:pPr>
        <w:ind w:left="1840" w:hanging="548"/>
        <w:spacing w:after="0"/>
        <w:tabs>
          <w:tab w:leader="none" w:pos="18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96" w:lineRule="exact"/>
        <w:rPr>
          <w:sz w:val="20"/>
          <w:szCs w:val="20"/>
          <w:color w:val="auto"/>
        </w:rPr>
      </w:pPr>
    </w:p>
    <w:p>
      <w:pPr>
        <w:ind w:left="640" w:right="2800" w:firstLine="1186"/>
        <w:spacing w:after="0" w:line="271" w:lineRule="auto"/>
        <w:tabs>
          <w:tab w:leader="none" w:pos="2476"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57" w:lineRule="exact"/>
        <w:rPr>
          <w:rFonts w:ascii="Times New Roman" w:cs="Times New Roman" w:eastAsia="Times New Roman" w:hAnsi="Times New Roman"/>
          <w:sz w:val="22"/>
          <w:szCs w:val="22"/>
          <w:color w:val="auto"/>
        </w:rPr>
      </w:pPr>
    </w:p>
    <w:p>
      <w:pPr>
        <w:jc w:val="both"/>
        <w:ind w:left="640" w:firstLine="1126"/>
        <w:spacing w:after="0" w:line="263" w:lineRule="auto"/>
        <w:tabs>
          <w:tab w:leader="none" w:pos="2476"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Area</w:t>
      </w:r>
      <w:r>
        <w:rPr>
          <w:rFonts w:ascii="Times New Roman" w:cs="Times New Roman" w:eastAsia="Times New Roman" w:hAnsi="Times New Roman"/>
          <w:sz w:val="22"/>
          <w:szCs w:val="22"/>
          <w:color w:val="auto"/>
        </w:rPr>
        <w:t>” shall mean any location or geographic area within 75 miles of a location where the Company or its Affiliates conducts Business, or has plans to conduct Business of which Executive is aware, during the period of Executive’s employment with the Company.</w:t>
      </w:r>
    </w:p>
    <w:p>
      <w:pPr>
        <w:spacing w:after="0" w:line="167" w:lineRule="exact"/>
        <w:rPr>
          <w:rFonts w:ascii="Times New Roman" w:cs="Times New Roman" w:eastAsia="Times New Roman" w:hAnsi="Times New Roman"/>
          <w:sz w:val="22"/>
          <w:szCs w:val="22"/>
          <w:color w:val="auto"/>
        </w:rPr>
      </w:pPr>
    </w:p>
    <w:p>
      <w:pPr>
        <w:jc w:val="both"/>
        <w:ind w:firstLine="1292"/>
        <w:spacing w:after="0" w:line="275" w:lineRule="auto"/>
        <w:tabs>
          <w:tab w:leader="none" w:pos="183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spacing w:after="0" w:line="151" w:lineRule="exact"/>
        <w:rPr>
          <w:rFonts w:ascii="Times New Roman" w:cs="Times New Roman" w:eastAsia="Times New Roman" w:hAnsi="Times New Roman"/>
          <w:sz w:val="21"/>
          <w:szCs w:val="21"/>
          <w:color w:val="auto"/>
        </w:rPr>
      </w:pPr>
    </w:p>
    <w:p>
      <w:pPr>
        <w:ind w:firstLine="644"/>
        <w:spacing w:after="0" w:line="287" w:lineRule="auto"/>
        <w:tabs>
          <w:tab w:leader="none" w:pos="11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 Executive agrees that the Company or its applicable Affiliate shall own,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assigns, all right, title, and interest (including</w:t>
      </w:r>
    </w:p>
    <w:p>
      <w:pPr>
        <w:sectPr>
          <w:pgSz w:w="11900" w:h="16838" w:orient="portrait"/>
          <w:cols w:equalWidth="0" w:num="1">
            <w:col w:w="11120"/>
          </w:cols>
          <w:pgMar w:left="440" w:top="1327" w:right="339" w:bottom="1440" w:gutter="0" w:footer="0" w:header="0"/>
        </w:sectPr>
      </w:pPr>
    </w:p>
    <w:bookmarkStart w:id="116" w:name="page117"/>
    <w:bookmarkEnd w:id="116"/>
    <w:p>
      <w:pPr>
        <w:jc w:val="both"/>
        <w:spacing w:after="0" w:line="247" w:lineRule="auto"/>
        <w:rPr>
          <w:sz w:val="20"/>
          <w:szCs w:val="20"/>
          <w:color w:val="auto"/>
        </w:rPr>
      </w:pPr>
      <w:r>
        <w:rPr>
          <w:rFonts w:ascii="Times New Roman" w:cs="Times New Roman" w:eastAsia="Times New Roman" w:hAnsi="Times New Roman"/>
          <w:sz w:val="22"/>
          <w:szCs w:val="22"/>
          <w:color w:val="auto"/>
        </w:rPr>
        <w:t>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183" w:lineRule="exact"/>
        <w:rPr>
          <w:sz w:val="20"/>
          <w:szCs w:val="20"/>
          <w:color w:val="auto"/>
        </w:rPr>
      </w:pPr>
    </w:p>
    <w:p>
      <w:pPr>
        <w:ind w:left="1180" w:hanging="536"/>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0" w:lineRule="auto"/>
        <w:tabs>
          <w:tab w:leader="none" w:pos="183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 arbitration award shall be final and binding on both parties.</w:t>
      </w:r>
    </w:p>
    <w:p>
      <w:pPr>
        <w:spacing w:after="0" w:line="180"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under this Section 11 shall be heard by a single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parties agree that the Arbitrator and any court enforcing the award of the Arbitrator shall not have the right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award punitive or exemplary damages to any disputing party.</w:t>
      </w:r>
    </w:p>
    <w:p>
      <w:pPr>
        <w:sectPr>
          <w:pgSz w:w="11900" w:h="16838" w:orient="portrait"/>
          <w:cols w:equalWidth="0" w:num="1">
            <w:col w:w="11120"/>
          </w:cols>
          <w:pgMar w:left="440" w:top="1327" w:right="339" w:bottom="1440" w:gutter="0" w:footer="0" w:header="0"/>
        </w:sectPr>
      </w:pPr>
    </w:p>
    <w:bookmarkStart w:id="117" w:name="page118"/>
    <w:bookmarkEnd w:id="117"/>
    <w:p>
      <w:pPr>
        <w:jc w:val="both"/>
        <w:ind w:left="-644" w:firstLine="1292"/>
        <w:spacing w:after="0" w:line="257" w:lineRule="auto"/>
        <w:tabs>
          <w:tab w:leader="none" w:pos="118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spacing w:after="0" w:line="186" w:lineRule="exact"/>
        <w:rPr>
          <w:rFonts w:ascii="Times New Roman" w:cs="Times New Roman" w:eastAsia="Times New Roman" w:hAnsi="Times New Roman"/>
          <w:sz w:val="22"/>
          <w:szCs w:val="22"/>
          <w:color w:val="auto"/>
        </w:rPr>
      </w:pPr>
    </w:p>
    <w:p>
      <w:pPr>
        <w:jc w:val="both"/>
        <w:ind w:left="-644" w:firstLine="1292"/>
        <w:spacing w:after="0" w:line="252" w:lineRule="auto"/>
        <w:tabs>
          <w:tab w:leader="none" w:pos="118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remainder of any such dispute (beyond the application for emergency or temporary injunctive relief) shall be subject to arbitration under this Section.</w:t>
      </w:r>
    </w:p>
    <w:p>
      <w:pPr>
        <w:spacing w:after="0" w:line="179"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entering into the arbitration provisions of this Section 11, THE PARTIES EXPRESSLY ACKNOWLEDGE AND AGREE THAT THEY ARE KNOWINGLY, VOLUNTARILY, AND INTENTIONALLY WAIVING THEIR RIGHTS TO A JURY TRIAL.</w:t>
      </w:r>
    </w:p>
    <w:p>
      <w:pPr>
        <w:spacing w:after="0" w:line="167" w:lineRule="exact"/>
        <w:rPr>
          <w:rFonts w:ascii="Times New Roman" w:cs="Times New Roman" w:eastAsia="Times New Roman" w:hAnsi="Times New Roman"/>
          <w:sz w:val="22"/>
          <w:szCs w:val="22"/>
          <w:color w:val="auto"/>
        </w:rPr>
      </w:pPr>
    </w:p>
    <w:p>
      <w:pPr>
        <w:jc w:val="both"/>
        <w:ind w:left="-644" w:right="20" w:firstLine="1292"/>
        <w:spacing w:after="0" w:line="257" w:lineRule="auto"/>
        <w:tabs>
          <w:tab w:leader="none" w:pos="11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spacing w:after="0" w:line="168" w:lineRule="exact"/>
        <w:rPr>
          <w:rFonts w:ascii="Times New Roman" w:cs="Times New Roman" w:eastAsia="Times New Roman" w:hAnsi="Times New Roman"/>
          <w:sz w:val="22"/>
          <w:szCs w:val="22"/>
          <w:color w:val="auto"/>
        </w:rPr>
      </w:pPr>
    </w:p>
    <w:p>
      <w:pPr>
        <w:jc w:val="both"/>
        <w:ind w:left="-644" w:firstLine="644"/>
        <w:spacing w:after="0" w:line="252" w:lineRule="auto"/>
        <w:tabs>
          <w:tab w:leader="none" w:pos="5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Executive agrees that, during the Employment Period and thereafter, upon reasonable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spacing w:after="0" w:line="179" w:lineRule="exact"/>
        <w:rPr>
          <w:rFonts w:ascii="Times New Roman" w:cs="Times New Roman" w:eastAsia="Times New Roman" w:hAnsi="Times New Roman"/>
          <w:sz w:val="22"/>
          <w:szCs w:val="22"/>
          <w:color w:val="auto"/>
        </w:rPr>
      </w:pPr>
    </w:p>
    <w:p>
      <w:pPr>
        <w:jc w:val="both"/>
        <w:ind w:left="-644" w:firstLine="644"/>
        <w:spacing w:after="0" w:line="259" w:lineRule="auto"/>
        <w:tabs>
          <w:tab w:leader="none" w:pos="5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Withholdings</w:t>
      </w:r>
      <w:r>
        <w:rPr>
          <w:rFonts w:ascii="Times New Roman" w:cs="Times New Roman" w:eastAsia="Times New Roman" w:hAnsi="Times New Roman"/>
          <w:sz w:val="22"/>
          <w:szCs w:val="22"/>
          <w:color w:val="auto"/>
        </w:rPr>
        <w:t>. The Company may withhold and deduct from any payments made or to be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all federal, state, local, and other taxes as may be required pursuant to any law or governmental regulation or ruling and (b) any deductions consented to in writing by Executive.</w:t>
      </w:r>
    </w:p>
    <w:p>
      <w:pPr>
        <w:spacing w:after="0" w:line="166"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w:t>
      </w:r>
    </w:p>
    <w:p>
      <w:pPr>
        <w:sectPr>
          <w:pgSz w:w="11900" w:h="16838" w:orient="portrait"/>
          <w:cols w:equalWidth="0" w:num="1">
            <w:col w:w="10476"/>
          </w:cols>
          <w:pgMar w:left="1084" w:top="1327" w:right="33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spacing w:after="0" w:line="182" w:lineRule="exact"/>
        <w:rPr>
          <w:sz w:val="20"/>
          <w:szCs w:val="20"/>
          <w:color w:val="auto"/>
        </w:rPr>
      </w:pPr>
    </w:p>
    <w:p>
      <w:pPr>
        <w:jc w:val="both"/>
        <w:ind w:firstLine="644"/>
        <w:spacing w:after="0" w:line="251"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Submission to Jurisdiction</w:t>
      </w:r>
      <w:r>
        <w:rPr>
          <w:rFonts w:ascii="Times New Roman" w:cs="Times New Roman" w:eastAsia="Times New Roman" w:hAnsi="Times New Roman"/>
          <w:sz w:val="22"/>
          <w:szCs w:val="22"/>
          <w:color w:val="auto"/>
        </w:rPr>
        <w:t>. This Agreement shall in all respects be construed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spacing w:after="0" w:line="175"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(including the offer letter executed by Executive and the Company and dated January 2, 2020, and the amendment dated July 1, 2021)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spacing w:after="0" w:line="184" w:lineRule="exact"/>
        <w:rPr>
          <w:rFonts w:ascii="Times New Roman" w:cs="Times New Roman" w:eastAsia="Times New Roman" w:hAnsi="Times New Roman"/>
          <w:sz w:val="22"/>
          <w:szCs w:val="22"/>
          <w:color w:val="auto"/>
        </w:rPr>
      </w:pPr>
    </w:p>
    <w:p>
      <w:pPr>
        <w:jc w:val="both"/>
        <w:ind w:firstLine="644"/>
        <w:spacing w:after="0" w:line="252"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spacing w:after="0" w:line="174" w:lineRule="exact"/>
        <w:rPr>
          <w:rFonts w:ascii="Times New Roman" w:cs="Times New Roman" w:eastAsia="Times New Roman" w:hAnsi="Times New Roman"/>
          <w:sz w:val="22"/>
          <w:szCs w:val="22"/>
          <w:color w:val="auto"/>
        </w:rPr>
      </w:pPr>
    </w:p>
    <w:p>
      <w:pPr>
        <w:jc w:val="both"/>
        <w:ind w:firstLine="644"/>
        <w:spacing w:after="0" w:line="264" w:lineRule="auto"/>
        <w:tabs>
          <w:tab w:leader="none" w:pos="118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Executive,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sectPr>
          <w:pgSz w:w="11900" w:h="16838" w:orient="portrait"/>
          <w:cols w:equalWidth="0" w:num="1">
            <w:col w:w="11120"/>
          </w:cols>
          <w:pgMar w:left="440" w:top="1327" w:right="339" w:bottom="1440" w:gutter="0" w:footer="0" w:header="0"/>
        </w:sectPr>
      </w:pPr>
    </w:p>
    <w:bookmarkStart w:id="119" w:name="page120"/>
    <w:bookmarkEnd w:id="119"/>
    <w:p>
      <w:pPr>
        <w:jc w:val="both"/>
        <w:ind w:left="4" w:firstLine="644"/>
        <w:spacing w:after="0" w:line="260" w:lineRule="auto"/>
        <w:tabs>
          <w:tab w:leader="none" w:pos="119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Affiliates</w:t>
      </w:r>
      <w:r>
        <w:rPr>
          <w:rFonts w:ascii="Times New Roman" w:cs="Times New Roman" w:eastAsia="Times New Roman" w:hAnsi="Times New Roman"/>
          <w:sz w:val="21"/>
          <w:szCs w:val="21"/>
          <w:color w:val="auto"/>
        </w:rPr>
        <w:t>. For purposes of this Agreement, the term “</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is defined as any person or entity Controlling,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Controlled by, or Under Common Control with the Company. The term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the correlative terms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w:t>
      </w:r>
    </w:p>
    <w:p>
      <w:pPr>
        <w:ind w:left="284" w:hanging="284"/>
        <w:spacing w:after="0"/>
        <w:tabs>
          <w:tab w:leader="none" w:pos="28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other person or entity, more than 50% of the economic or beneficial interest therein.</w:t>
      </w:r>
    </w:p>
    <w:p>
      <w:pPr>
        <w:spacing w:after="0" w:line="205"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Notices provided for in this Agreement shall be in writing and shall be deemed to have been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spacing w:after="0" w:line="179" w:lineRule="exact"/>
        <w:rPr>
          <w:sz w:val="20"/>
          <w:szCs w:val="20"/>
          <w:color w:val="auto"/>
        </w:rPr>
      </w:pPr>
    </w:p>
    <w:p>
      <w:pPr>
        <w:ind w:left="1824" w:right="4640" w:hanging="528"/>
        <w:spacing w:after="0" w:line="261" w:lineRule="auto"/>
        <w:tabs>
          <w:tab w:leader="none" w:pos="184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addressed to: Aviat Networks, Inc. 200 Parker Dr. Ste 100A</w:t>
      </w:r>
    </w:p>
    <w:p>
      <w:pPr>
        <w:ind w:left="18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Austin Texas 78728</w:t>
      </w:r>
    </w:p>
    <w:p>
      <w:pPr>
        <w:spacing w:after="0" w:line="196"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22"/>
          <w:szCs w:val="22"/>
          <w:color w:val="auto"/>
        </w:rPr>
        <w:t>Attention: Human Resources and Legal Departments</w:t>
      </w:r>
    </w:p>
    <w:p>
      <w:pPr>
        <w:spacing w:after="0" w:line="233" w:lineRule="exact"/>
        <w:rPr>
          <w:sz w:val="20"/>
          <w:szCs w:val="20"/>
          <w:color w:val="auto"/>
        </w:rPr>
      </w:pPr>
    </w:p>
    <w:p>
      <w:pPr>
        <w:ind w:left="1844" w:hanging="548"/>
        <w:spacing w:after="0"/>
        <w:tabs>
          <w:tab w:leader="none" w:pos="18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Executive, addressed to the most recent address the Company has in its employment records for</w:t>
      </w:r>
    </w:p>
    <w:p>
      <w:pPr>
        <w:spacing w:after="0" w:line="27"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191"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facsimile or “.pdf”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8"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1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Executive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spacing w:after="0" w:line="181" w:lineRule="exact"/>
        <w:rPr>
          <w:rFonts w:ascii="Times New Roman" w:cs="Times New Roman" w:eastAsia="Times New Roman" w:hAnsi="Times New Roman"/>
          <w:sz w:val="22"/>
          <w:szCs w:val="22"/>
          <w:color w:val="auto"/>
        </w:rPr>
      </w:pPr>
    </w:p>
    <w:p>
      <w:pPr>
        <w:ind w:left="4" w:firstLine="644"/>
        <w:spacing w:after="0" w:line="299" w:lineRule="auto"/>
        <w:tabs>
          <w:tab w:leader="none" w:pos="119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 Sections 6(f), 7-12, 22, and 24 and those provisions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 and enforce them, shall survive any termination of the employment relationship between Executive and the Company.</w:t>
      </w:r>
    </w:p>
    <w:p>
      <w:pPr>
        <w:sectPr>
          <w:pgSz w:w="11900" w:h="16838" w:orient="portrait"/>
          <w:cols w:equalWidth="0" w:num="1">
            <w:col w:w="11124"/>
          </w:cols>
          <w:pgMar w:left="436" w:top="1323" w:right="339" w:bottom="1440" w:gutter="0" w:footer="0" w:header="0"/>
        </w:sectPr>
      </w:pPr>
    </w:p>
    <w:bookmarkStart w:id="120" w:name="page121"/>
    <w:bookmarkEnd w:id="120"/>
    <w:p>
      <w:pPr>
        <w:ind w:left="-644" w:firstLine="644"/>
        <w:spacing w:after="0" w:line="275" w:lineRule="auto"/>
        <w:tabs>
          <w:tab w:leader="none" w:pos="5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Affiliate of the Company shall be a third-party beneficiary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Sections 7, 8, 9, 10, and 22 and shall be entitled to enforce such obligations as if a party hereto.</w:t>
      </w:r>
    </w:p>
    <w:p>
      <w:pPr>
        <w:spacing w:after="0" w:line="149" w:lineRule="exact"/>
        <w:rPr>
          <w:rFonts w:ascii="Times New Roman" w:cs="Times New Roman" w:eastAsia="Times New Roman" w:hAnsi="Times New Roman"/>
          <w:sz w:val="22"/>
          <w:szCs w:val="22"/>
          <w:color w:val="auto"/>
        </w:rPr>
      </w:pPr>
    </w:p>
    <w:p>
      <w:pPr>
        <w:jc w:val="both"/>
        <w:ind w:left="-644" w:firstLine="644"/>
        <w:spacing w:after="0" w:line="258" w:lineRule="auto"/>
        <w:tabs>
          <w:tab w:leader="none" w:pos="5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Subject to Section 9(e), if an arbitrator or court of competent jurisdiction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spacing w:after="0" w:line="167" w:lineRule="exact"/>
        <w:rPr>
          <w:rFonts w:ascii="Times New Roman" w:cs="Times New Roman" w:eastAsia="Times New Roman" w:hAnsi="Times New Roman"/>
          <w:sz w:val="22"/>
          <w:szCs w:val="22"/>
          <w:color w:val="auto"/>
        </w:rPr>
      </w:pPr>
    </w:p>
    <w:p>
      <w:pPr>
        <w:jc w:val="both"/>
        <w:ind w:left="-644" w:firstLine="644"/>
        <w:spacing w:after="0" w:line="261" w:lineRule="auto"/>
        <w:tabs>
          <w:tab w:leader="none" w:pos="5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Notwithstanding any provision of this Agreement to the contrary, all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intended to comply with Section 409A of the Code, and the applicable Treasury regulations and administrative guidance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spacing w:after="0" w:line="170" w:lineRule="exact"/>
        <w:rPr>
          <w:rFonts w:ascii="Times New Roman" w:cs="Times New Roman" w:eastAsia="Times New Roman" w:hAnsi="Times New Roman"/>
          <w:sz w:val="21"/>
          <w:szCs w:val="21"/>
          <w:color w:val="auto"/>
        </w:rPr>
      </w:pPr>
    </w:p>
    <w:p>
      <w:pPr>
        <w:jc w:val="both"/>
        <w:ind w:left="-644" w:firstLine="644"/>
        <w:spacing w:after="0" w:line="249" w:lineRule="auto"/>
        <w:tabs>
          <w:tab w:leader="none" w:pos="5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To the extent required by Company policy, applicable law, government regulation, or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w:t>
      </w:r>
    </w:p>
    <w:p>
      <w:pPr>
        <w:spacing w:after="0" w:line="181" w:lineRule="exact"/>
        <w:rPr>
          <w:rFonts w:ascii="Times New Roman" w:cs="Times New Roman" w:eastAsia="Times New Roman" w:hAnsi="Times New Roman"/>
          <w:sz w:val="22"/>
          <w:szCs w:val="22"/>
          <w:color w:val="auto"/>
        </w:rPr>
      </w:pPr>
    </w:p>
    <w:p>
      <w:pPr>
        <w:jc w:val="both"/>
        <w:ind w:left="-644" w:firstLine="644"/>
        <w:spacing w:after="0" w:line="266" w:lineRule="auto"/>
        <w:tabs>
          <w:tab w:leader="none" w:pos="5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to the contrary in this Agreement, if Executive is a “disqualified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w:t>
      </w:r>
    </w:p>
    <w:p>
      <w:pPr>
        <w:sectPr>
          <w:pgSz w:w="11900" w:h="16838" w:orient="portrait"/>
          <w:cols w:equalWidth="0" w:num="1">
            <w:col w:w="10476"/>
          </w:cols>
          <w:pgMar w:left="1084" w:top="1323" w:right="339" w:bottom="1440" w:gutter="0" w:footer="0" w:header="0"/>
        </w:sectPr>
      </w:pPr>
    </w:p>
    <w:bookmarkStart w:id="121" w:name="page122"/>
    <w:bookmarkEnd w:id="121"/>
    <w:p>
      <w:pPr>
        <w:jc w:val="both"/>
        <w:spacing w:after="0" w:line="247" w:lineRule="auto"/>
        <w:rPr>
          <w:sz w:val="20"/>
          <w:szCs w:val="20"/>
          <w:color w:val="auto"/>
        </w:rPr>
      </w:pPr>
      <w:r>
        <w:rPr>
          <w:rFonts w:ascii="Times New Roman" w:cs="Times New Roman" w:eastAsia="Times New Roman" w:hAnsi="Times New Roman"/>
          <w:sz w:val="22"/>
          <w:szCs w:val="22"/>
          <w:color w:val="auto"/>
        </w:rPr>
        <w:t>“base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was left blank intentionally; the signature page follows.</w:t>
      </w:r>
      <w:r>
        <w:rPr>
          <w:rFonts w:ascii="Times New Roman" w:cs="Times New Roman" w:eastAsia="Times New Roman" w:hAnsi="Times New Roman"/>
          <w:sz w:val="22"/>
          <w:szCs w:val="22"/>
          <w:color w:val="auto"/>
        </w:rPr>
        <w:t>]</w:t>
      </w:r>
    </w:p>
    <w:p>
      <w:pPr>
        <w:sectPr>
          <w:pgSz w:w="11900" w:h="16838" w:orient="portrait"/>
          <w:cols w:equalWidth="0" w:num="1">
            <w:col w:w="11120"/>
          </w:cols>
          <w:pgMar w:left="440" w:top="1327" w:right="339" w:bottom="1440" w:gutter="0" w:footer="0" w:header="0"/>
        </w:sectPr>
      </w:pPr>
    </w:p>
    <w:bookmarkStart w:id="122" w:name="page123"/>
    <w:bookmarkEnd w:id="122"/>
    <w:p>
      <w:pPr>
        <w:spacing w:after="0" w:line="11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Executive and the Company each have caused this Agreement to be executed in its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its behalf, effective for all purposes as provided above.</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Peter A. Smith</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Peter A. Smith</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John Mutch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John Mutch</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Chairman of the Board of Directors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Aviat Networks, Inc.</w:t>
      </w:r>
    </w:p>
    <w:p>
      <w:pPr>
        <w:sectPr>
          <w:pgSz w:w="11900" w:h="16838" w:orient="portrait"/>
          <w:cols w:equalWidth="0" w:num="1">
            <w:col w:w="11240"/>
          </w:cols>
          <w:pgMar w:left="320" w:top="1440" w:right="339" w:bottom="1440" w:gutter="0" w:footer="0" w:header="0"/>
        </w:sectPr>
      </w:pPr>
    </w:p>
    <w:bookmarkStart w:id="123" w:name="page124"/>
    <w:bookmarkEnd w:id="123"/>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15,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David M. Gray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4"/>
        <w:spacing w:after="0" w:line="265" w:lineRule="auto"/>
        <w:tabs>
          <w:tab w:leader="none" w:pos="118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During the period commencing on the Effective Date and for the duration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(as defined in Section 4 below), the Company shall employ Executive, and Executive shall serve as Senior Vice President and Chief Financial Officer of the Company.</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 and Responsibilities of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spacing w:after="0" w:line="178"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spacing w:after="0" w:line="178" w:lineRule="exact"/>
        <w:rPr>
          <w:rFonts w:ascii="Times New Roman" w:cs="Times New Roman" w:eastAsia="Times New Roman" w:hAnsi="Times New Roman"/>
          <w:sz w:val="22"/>
          <w:szCs w:val="22"/>
          <w:color w:val="auto"/>
        </w:rPr>
      </w:pPr>
    </w:p>
    <w:p>
      <w:pPr>
        <w:jc w:val="both"/>
        <w:ind w:firstLine="1292"/>
        <w:spacing w:after="0" w:line="249" w:lineRule="auto"/>
        <w:tabs>
          <w:tab w:leader="none" w:pos="183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spacing w:after="0" w:line="181"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you will report directly to Peter A. Smith, Chief Executive Officer.</w:t>
      </w:r>
    </w:p>
    <w:p>
      <w:pPr>
        <w:spacing w:after="0" w:line="215"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3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Executive’s annualized base salary shall be $364,208.26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pgSz w:w="11900" w:h="16838" w:orient="portrait"/>
          <w:cols w:equalWidth="0" w:num="1">
            <w:col w:w="11120"/>
          </w:cols>
          <w:pgMar w:left="440" w:top="1175" w:right="339" w:bottom="1440" w:gutter="0" w:footer="0" w:header="0"/>
        </w:sectPr>
      </w:pPr>
    </w:p>
    <w:bookmarkStart w:id="124" w:name="page125"/>
    <w:bookmarkEnd w:id="124"/>
    <w:p>
      <w:pPr>
        <w:jc w:val="both"/>
        <w:ind w:left="-644" w:firstLine="1292"/>
        <w:spacing w:after="0" w:line="260" w:lineRule="auto"/>
        <w:tabs>
          <w:tab w:leader="none" w:pos="1187"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Employment Period, Executive shall be eligible for discretionary bonus compensation for the 2024 fiscal year and each subsequent complete fiscal year that Executive is employed by the Company hereunder (each, a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pursuant to the applicable incentive or bonus compensation plan of the Company, if any, that is applicable to similarly situated executives of the Company (each, an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Each Annual Bonus shall have a target value that is not less than 50% of Executive’s Base Salary as in effect on the first day of the Bonus Year to which such Annual Bonus relates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Target Annual Bonus for the 2024 fiscal year shall have a target value of not less than $182,104.13. The performance targets that must be achieved in order to realize certain bonus levels shall be established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a committee thereof annually, in its sole discretion, and communicated to Executive in accordance with terms of the applicable incentive or bonus plan, if any, or if no such plan has been adopted, within the first 90 days of each applicable Bonus Year following 2024.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w:t>
      </w:r>
    </w:p>
    <w:p>
      <w:pPr>
        <w:spacing w:after="0" w:line="185" w:lineRule="exact"/>
        <w:rPr>
          <w:rFonts w:ascii="Times New Roman" w:cs="Times New Roman" w:eastAsia="Times New Roman" w:hAnsi="Times New Roman"/>
          <w:sz w:val="21"/>
          <w:szCs w:val="21"/>
          <w:color w:val="auto"/>
        </w:rPr>
      </w:pPr>
    </w:p>
    <w:p>
      <w:pPr>
        <w:jc w:val="both"/>
        <w:ind w:left="-644" w:firstLine="1292"/>
        <w:spacing w:after="0" w:line="249" w:lineRule="auto"/>
        <w:tabs>
          <w:tab w:leader="none" w:pos="118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With respect to the 2024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50% of Executive’s Base Salary as in effect on the first day of such fiscal year (the “</w:t>
      </w:r>
      <w:r>
        <w:rPr>
          <w:rFonts w:ascii="Times New Roman" w:cs="Times New Roman" w:eastAsia="Times New Roman" w:hAnsi="Times New Roman"/>
          <w:sz w:val="22"/>
          <w:szCs w:val="22"/>
          <w:u w:val="single" w:color="auto"/>
          <w:color w:val="auto"/>
        </w:rPr>
        <w:t>Target Annual LTIP Award</w:t>
      </w:r>
      <w:r>
        <w:rPr>
          <w:rFonts w:ascii="Times New Roman" w:cs="Times New Roman" w:eastAsia="Times New Roman" w:hAnsi="Times New Roman"/>
          <w:sz w:val="22"/>
          <w:szCs w:val="22"/>
          <w:color w:val="auto"/>
        </w:rPr>
        <w:t>”).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w:t>
      </w:r>
    </w:p>
    <w:p>
      <w:pPr>
        <w:spacing w:after="0" w:line="177"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current term of Executive’s employment under this Agreement is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Effective Date and ending on the first anniversary of the Effective Date (the “</w:t>
      </w:r>
      <w:r>
        <w:rPr>
          <w:rFonts w:ascii="Times New Roman" w:cs="Times New Roman" w:eastAsia="Times New Roman" w:hAnsi="Times New Roman"/>
          <w:sz w:val="22"/>
          <w:szCs w:val="22"/>
          <w:u w:val="single" w:color="auto"/>
          <w:color w:val="auto"/>
        </w:rPr>
        <w:t>Current Term</w:t>
      </w:r>
      <w:r>
        <w:rPr>
          <w:rFonts w:ascii="Times New Roman" w:cs="Times New Roman" w:eastAsia="Times New Roman" w:hAnsi="Times New Roman"/>
          <w:sz w:val="22"/>
          <w:szCs w:val="22"/>
          <w:color w:val="auto"/>
        </w:rPr>
        <w:t>”). On the first anniversary of the Effective Date and on each subsequent anniversary of the Effective Date, the term of Executive’s employment under this Agreement shall automatically renew and extend for a period of 12 months (each such 12-month period being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ectPr>
          <w:pgSz w:w="11900" w:h="16838" w:orient="portrait"/>
          <w:cols w:equalWidth="0" w:num="1">
            <w:col w:w="10476"/>
          </w:cols>
          <w:pgMar w:left="1084" w:top="1327" w:right="339" w:bottom="1440" w:gutter="0" w:footer="0" w:header="0"/>
        </w:sectPr>
      </w:pPr>
    </w:p>
    <w:bookmarkStart w:id="125" w:name="page126"/>
    <w:bookmarkEnd w:id="125"/>
    <w:p>
      <w:pPr>
        <w:ind w:left="-644" w:firstLine="644"/>
        <w:spacing w:after="0" w:line="275" w:lineRule="auto"/>
        <w:tabs>
          <w:tab w:leader="none" w:pos="5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Business Expenses; Benefits</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entitled to the following reimbursements and benefits during the Employment Period:</w:t>
      </w:r>
    </w:p>
    <w:p>
      <w:pPr>
        <w:spacing w:after="0" w:line="15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xml:space="preserve">. The Company agrees to reimburse Executive for Executive’s reasonable business-related expenses incurred in the performance of Executive’s duties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termination of Executive’s employment with the Company, in no event shall any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spacing w:after="0" w:line="197" w:lineRule="exact"/>
        <w:rPr>
          <w:rFonts w:ascii="Times New Roman" w:cs="Times New Roman" w:eastAsia="Times New Roman" w:hAnsi="Times New Roman"/>
          <w:sz w:val="22"/>
          <w:szCs w:val="22"/>
          <w:color w:val="auto"/>
        </w:rPr>
      </w:pPr>
    </w:p>
    <w:p>
      <w:pPr>
        <w:jc w:val="both"/>
        <w:ind w:left="-644" w:firstLine="1292"/>
        <w:spacing w:after="0" w:line="251" w:lineRule="auto"/>
        <w:tabs>
          <w:tab w:leader="none" w:pos="118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pacing w:after="0" w:line="177" w:lineRule="exact"/>
        <w:rPr>
          <w:rFonts w:ascii="Times New Roman" w:cs="Times New Roman" w:eastAsia="Times New Roman" w:hAnsi="Times New Roman"/>
          <w:sz w:val="22"/>
          <w:szCs w:val="22"/>
          <w:color w:val="auto"/>
        </w:rPr>
      </w:pPr>
    </w:p>
    <w:p>
      <w:pPr>
        <w:ind w:left="536" w:hanging="536"/>
        <w:spacing w:after="0"/>
        <w:tabs>
          <w:tab w:leader="none" w:pos="5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44" w:right="20" w:firstLine="1292"/>
        <w:spacing w:after="0" w:line="271" w:lineRule="auto"/>
        <w:tabs>
          <w:tab w:leader="none" w:pos="118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Executive’s Employment for Cause</w:t>
      </w:r>
      <w:r>
        <w:rPr>
          <w:rFonts w:ascii="Times New Roman" w:cs="Times New Roman" w:eastAsia="Times New Roman" w:hAnsi="Times New Roman"/>
          <w:sz w:val="22"/>
          <w:szCs w:val="22"/>
          <w:color w:val="auto"/>
        </w:rPr>
        <w:t>. The Company shall have the right to terminate Executive’s employment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w:t>
      </w:r>
    </w:p>
    <w:p>
      <w:pPr>
        <w:spacing w:after="0" w:line="157" w:lineRule="exact"/>
        <w:rPr>
          <w:rFonts w:ascii="Times New Roman" w:cs="Times New Roman" w:eastAsia="Times New Roman" w:hAnsi="Times New Roman"/>
          <w:sz w:val="22"/>
          <w:szCs w:val="22"/>
          <w:color w:val="auto"/>
        </w:rPr>
      </w:pPr>
    </w:p>
    <w:p>
      <w:pPr>
        <w:ind w:left="-4" w:firstLine="1186"/>
        <w:spacing w:after="0" w:line="271" w:lineRule="auto"/>
        <w:tabs>
          <w:tab w:leader="none" w:pos="1832"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policy established by the Company or any of its Affiliates including but not limited to policies regarding bribery and harassment and any other policies applicable to Executive;</w:t>
      </w:r>
    </w:p>
    <w:p>
      <w:pPr>
        <w:spacing w:after="0" w:line="171" w:lineRule="exact"/>
        <w:rPr>
          <w:rFonts w:ascii="Times New Roman" w:cs="Times New Roman" w:eastAsia="Times New Roman" w:hAnsi="Times New Roman"/>
          <w:sz w:val="22"/>
          <w:szCs w:val="22"/>
          <w:color w:val="auto"/>
        </w:rPr>
      </w:pPr>
    </w:p>
    <w:p>
      <w:pPr>
        <w:ind w:left="-4" w:firstLine="1126"/>
        <w:spacing w:after="0" w:line="271" w:lineRule="auto"/>
        <w:tabs>
          <w:tab w:leader="none" w:pos="1832"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acts of disloyalty to the Company or its Affiliates, including fraud, embezzlement, theft, commission of a felony, or proven dishonesty; or</w:t>
      </w:r>
    </w:p>
    <w:p>
      <w:pPr>
        <w:spacing w:after="0" w:line="157" w:lineRule="exact"/>
        <w:rPr>
          <w:rFonts w:ascii="Times New Roman" w:cs="Times New Roman" w:eastAsia="Times New Roman" w:hAnsi="Times New Roman"/>
          <w:sz w:val="22"/>
          <w:szCs w:val="22"/>
          <w:color w:val="auto"/>
        </w:rPr>
      </w:pPr>
    </w:p>
    <w:p>
      <w:pPr>
        <w:ind w:left="-4" w:firstLine="1065"/>
        <w:spacing w:after="0" w:line="271" w:lineRule="auto"/>
        <w:tabs>
          <w:tab w:leader="none" w:pos="1832"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in the performance of, or willful failure to perform a material function of, Executive’s duties under this Agreement.</w:t>
      </w:r>
    </w:p>
    <w:p>
      <w:pPr>
        <w:spacing w:after="0" w:line="157" w:lineRule="exact"/>
        <w:rPr>
          <w:rFonts w:ascii="Times New Roman" w:cs="Times New Roman" w:eastAsia="Times New Roman" w:hAnsi="Times New Roman"/>
          <w:sz w:val="22"/>
          <w:szCs w:val="22"/>
          <w:color w:val="auto"/>
        </w:rPr>
      </w:pPr>
    </w:p>
    <w:p>
      <w:pPr>
        <w:ind w:left="-644" w:firstLine="1292"/>
        <w:spacing w:after="0" w:line="284" w:lineRule="auto"/>
        <w:tabs>
          <w:tab w:leader="none" w:pos="118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for Convenience</w:t>
      </w:r>
      <w:r>
        <w:rPr>
          <w:rFonts w:ascii="Times New Roman" w:cs="Times New Roman" w:eastAsia="Times New Roman" w:hAnsi="Times New Roman"/>
          <w:sz w:val="22"/>
          <w:szCs w:val="22"/>
          <w:color w:val="auto"/>
        </w:rPr>
        <w:t>. The Company shall have the right to terminate Executive’s employment without Cause, with or without notice, at any time and for any reason or no reason at all.</w:t>
      </w:r>
    </w:p>
    <w:p>
      <w:pPr>
        <w:sectPr>
          <w:pgSz w:w="11900" w:h="16838" w:orient="portrait"/>
          <w:cols w:equalWidth="0" w:num="1">
            <w:col w:w="10476"/>
          </w:cols>
          <w:pgMar w:left="1084" w:top="1323" w:right="339" w:bottom="1440" w:gutter="0" w:footer="0" w:header="0"/>
        </w:sectPr>
      </w:pPr>
    </w:p>
    <w:bookmarkStart w:id="126" w:name="page127"/>
    <w:bookmarkEnd w:id="126"/>
    <w:p>
      <w:pPr>
        <w:ind w:firstLine="1292"/>
        <w:spacing w:after="0" w:line="271" w:lineRule="auto"/>
        <w:tabs>
          <w:tab w:leader="none" w:pos="183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Right to Terminate for Good Reason</w:t>
      </w:r>
      <w:r>
        <w:rPr>
          <w:rFonts w:ascii="Times New Roman" w:cs="Times New Roman" w:eastAsia="Times New Roman" w:hAnsi="Times New Roman"/>
          <w:sz w:val="22"/>
          <w:szCs w:val="22"/>
          <w:color w:val="auto"/>
        </w:rPr>
        <w:t>. Executive shall have the right to terminate Executive’s employment with the Company at any time for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57" w:lineRule="exact"/>
        <w:rPr>
          <w:rFonts w:ascii="Times New Roman" w:cs="Times New Roman" w:eastAsia="Times New Roman" w:hAnsi="Times New Roman"/>
          <w:sz w:val="22"/>
          <w:szCs w:val="22"/>
          <w:color w:val="auto"/>
        </w:rPr>
      </w:pPr>
    </w:p>
    <w:p>
      <w:pPr>
        <w:ind w:left="2480" w:hanging="654"/>
        <w:spacing w:after="0"/>
        <w:tabs>
          <w:tab w:leader="none" w:pos="248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title, or responsibilities;</w:t>
      </w:r>
    </w:p>
    <w:p>
      <w:pPr>
        <w:spacing w:after="0" w:line="233" w:lineRule="exact"/>
        <w:rPr>
          <w:rFonts w:ascii="Times New Roman" w:cs="Times New Roman" w:eastAsia="Times New Roman" w:hAnsi="Times New Roman"/>
          <w:sz w:val="22"/>
          <w:szCs w:val="22"/>
          <w:color w:val="auto"/>
        </w:rPr>
      </w:pPr>
    </w:p>
    <w:p>
      <w:pPr>
        <w:ind w:left="2480" w:hanging="714"/>
        <w:spacing w:after="0"/>
        <w:tabs>
          <w:tab w:leader="none" w:pos="248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Target Annual Bonus, or Target Annual LTIP</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195" w:lineRule="exact"/>
        <w:rPr>
          <w:rFonts w:ascii="Times New Roman" w:cs="Times New Roman" w:eastAsia="Times New Roman" w:hAnsi="Times New Roman"/>
          <w:sz w:val="22"/>
          <w:szCs w:val="22"/>
          <w:color w:val="auto"/>
        </w:rPr>
      </w:pPr>
    </w:p>
    <w:p>
      <w:pPr>
        <w:ind w:left="640" w:firstLine="1066"/>
        <w:spacing w:after="0" w:line="271" w:lineRule="auto"/>
        <w:tabs>
          <w:tab w:leader="none" w:pos="247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geographic location of Executive’s principal place of employment by more than 100 miles from the location of Executive’s principal place of employment as of the Effective Date; or</w:t>
      </w:r>
    </w:p>
    <w:p>
      <w:pPr>
        <w:spacing w:after="0" w:line="157" w:lineRule="exact"/>
        <w:rPr>
          <w:rFonts w:ascii="Times New Roman" w:cs="Times New Roman" w:eastAsia="Times New Roman" w:hAnsi="Times New Roman"/>
          <w:sz w:val="22"/>
          <w:szCs w:val="22"/>
          <w:color w:val="auto"/>
        </w:rPr>
      </w:pPr>
    </w:p>
    <w:p>
      <w:pPr>
        <w:ind w:left="2460" w:hanging="742"/>
        <w:spacing w:after="0"/>
        <w:tabs>
          <w:tab w:leader="none" w:pos="24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of a written notice of non-renewal of this Agreement to Executive.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spacing w:after="0" w:line="179" w:lineRule="exact"/>
        <w:rPr>
          <w:sz w:val="20"/>
          <w:szCs w:val="20"/>
          <w:color w:val="auto"/>
        </w:rPr>
      </w:pPr>
    </w:p>
    <w:p>
      <w:pPr>
        <w:jc w:val="both"/>
        <w:ind w:firstLine="1292"/>
        <w:spacing w:after="0" w:line="248" w:lineRule="auto"/>
        <w:tabs>
          <w:tab w:leader="none" w:pos="183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with the Company shall terminate upon the death or Disability of Executive.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w:t>
      </w:r>
    </w:p>
    <w:p>
      <w:pPr>
        <w:spacing w:after="0" w:line="185" w:lineRule="exact"/>
        <w:rPr>
          <w:rFonts w:ascii="Times New Roman" w:cs="Times New Roman" w:eastAsia="Times New Roman" w:hAnsi="Times New Roman"/>
          <w:sz w:val="22"/>
          <w:szCs w:val="22"/>
          <w:color w:val="auto"/>
        </w:rPr>
      </w:pPr>
    </w:p>
    <w:p>
      <w:pPr>
        <w:jc w:val="both"/>
        <w:ind w:firstLine="1292"/>
        <w:spacing w:after="0" w:line="268" w:lineRule="auto"/>
        <w:tabs>
          <w:tab w:leader="none" w:pos="183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Right to Terminate for Convenience</w:t>
      </w:r>
      <w:r>
        <w:rPr>
          <w:rFonts w:ascii="Times New Roman" w:cs="Times New Roman" w:eastAsia="Times New Roman" w:hAnsi="Times New Roman"/>
          <w:sz w:val="21"/>
          <w:szCs w:val="21"/>
          <w:color w:val="auto"/>
        </w:rPr>
        <w:t xml:space="preserve">. Executive shall have the right to terminate Executive’s employment with the Company for convenience at any time upon 60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sectPr>
          <w:pgSz w:w="11900" w:h="16838" w:orient="portrait"/>
          <w:cols w:equalWidth="0" w:num="1">
            <w:col w:w="11120"/>
          </w:cols>
          <w:pgMar w:left="440" w:top="1327" w:right="339" w:bottom="1440" w:gutter="0" w:footer="0" w:header="0"/>
        </w:sectPr>
      </w:pPr>
    </w:p>
    <w:bookmarkStart w:id="127" w:name="page128"/>
    <w:bookmarkEnd w:id="127"/>
    <w:p>
      <w:pPr>
        <w:spacing w:after="0" w:line="131" w:lineRule="exact"/>
        <w:rPr>
          <w:sz w:val="20"/>
          <w:szCs w:val="20"/>
          <w:color w:val="auto"/>
        </w:rPr>
      </w:pPr>
    </w:p>
    <w:p>
      <w:pPr>
        <w:ind w:left="840" w:hanging="548"/>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60" w:firstLine="1185"/>
        <w:spacing w:after="0" w:line="249" w:lineRule="auto"/>
        <w:tabs>
          <w:tab w:leader="none" w:pos="147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spacing w:after="0" w:line="183" w:lineRule="exact"/>
        <w:rPr>
          <w:rFonts w:ascii="Times New Roman" w:cs="Times New Roman" w:eastAsia="Times New Roman" w:hAnsi="Times New Roman"/>
          <w:sz w:val="22"/>
          <w:szCs w:val="22"/>
          <w:color w:val="auto"/>
        </w:rPr>
      </w:pPr>
    </w:p>
    <w:p>
      <w:pPr>
        <w:jc w:val="both"/>
        <w:ind w:left="-360" w:firstLine="1126"/>
        <w:spacing w:after="0" w:line="249" w:lineRule="auto"/>
        <w:tabs>
          <w:tab w:leader="none" w:pos="147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abides by the terms of Sections 7, 8, 9, 10, and 12:</w:t>
      </w:r>
    </w:p>
    <w:p>
      <w:pPr>
        <w:spacing w:after="0" w:line="195"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2130"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 amount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equal to the product of (x) 1.0 (and, if such termination occurs within three months preceeding or 12 months following a Change in Control (as defined below), 1.0) and (y) the sum of Executive’s Base Salary as in effect on the date of the termination of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Executive’s prorated Annual Bonus as of the Termination Date (or, if such termination occurs within three months preceeding or 12 months following a Change in Control, the target bonus). The Severance Payment will be paid in a lump sum, subject to all applicable taxes on or before the Company’s first regularly scheduled pay date that is on or after the date that is 60 days after the Termination Date.</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53" w:lineRule="auto"/>
        <w:tabs>
          <w:tab w:leader="none" w:pos="213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sectPr>
          <w:pgSz w:w="11900" w:h="16838" w:orient="portrait"/>
          <w:cols w:equalWidth="0" w:num="1">
            <w:col w:w="10120"/>
          </w:cols>
          <w:pgMar w:left="1440" w:top="1440" w:right="339" w:bottom="1440" w:gutter="0" w:footer="0" w:header="0"/>
        </w:sectPr>
      </w:pPr>
    </w:p>
    <w:bookmarkStart w:id="128" w:name="page129"/>
    <w:bookmarkEnd w:id="128"/>
    <w:p>
      <w:pPr>
        <w:jc w:val="both"/>
        <w:ind w:left="660" w:firstLine="1288"/>
        <w:spacing w:after="0" w:line="247" w:lineRule="auto"/>
        <w:tabs>
          <w:tab w:leader="none" w:pos="24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used herein,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xml:space="preserve">”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COBRA Continuation Period shall immediately terminate upon the earlier of (1) the time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spacing w:after="0" w:line="172" w:lineRule="exact"/>
        <w:rPr>
          <w:sz w:val="20"/>
          <w:szCs w:val="20"/>
          <w:color w:val="auto"/>
        </w:rPr>
      </w:pPr>
    </w:p>
    <w:p>
      <w:pPr>
        <w:jc w:val="both"/>
        <w:ind w:firstLine="1066"/>
        <w:spacing w:after="0" w:line="265" w:lineRule="auto"/>
        <w:tabs>
          <w:tab w:leader="none" w:pos="183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21 days following the date upon which the Company delivers the Release to Executive (which shall occur no later than seven days after the Termination Date) or, in the event that such termination of employment is “in connection with an exit incentive or other</w:t>
      </w:r>
    </w:p>
    <w:p>
      <w:pPr>
        <w:sectPr>
          <w:pgSz w:w="11900" w:h="16838" w:orient="portrait"/>
          <w:cols w:equalWidth="0" w:num="1">
            <w:col w:w="10480"/>
          </w:cols>
          <w:pgMar w:left="1080" w:top="1327" w:right="33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employment termination program” (as such phrase is defined in the Age Discrimination in Employment Act of 1967, as amended), the date that is 45 days following such delivery date.</w:t>
      </w:r>
    </w:p>
    <w:p>
      <w:pPr>
        <w:spacing w:after="0" w:line="158" w:lineRule="exact"/>
        <w:rPr>
          <w:sz w:val="20"/>
          <w:szCs w:val="20"/>
          <w:color w:val="auto"/>
        </w:rPr>
      </w:pPr>
    </w:p>
    <w:p>
      <w:pPr>
        <w:ind w:firstLine="1078"/>
        <w:spacing w:after="0" w:line="284" w:lineRule="auto"/>
        <w:tabs>
          <w:tab w:leader="none" w:pos="1822"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one or more of the following transactions following the Effective Date:</w:t>
      </w:r>
    </w:p>
    <w:p>
      <w:pPr>
        <w:spacing w:after="0" w:line="143" w:lineRule="exact"/>
        <w:rPr>
          <w:rFonts w:ascii="Times New Roman" w:cs="Times New Roman" w:eastAsia="Times New Roman" w:hAnsi="Times New Roman"/>
          <w:sz w:val="22"/>
          <w:szCs w:val="22"/>
          <w:color w:val="auto"/>
        </w:rPr>
      </w:pPr>
    </w:p>
    <w:p>
      <w:pPr>
        <w:ind w:left="660" w:firstLine="1288"/>
        <w:spacing w:after="0" w:line="271" w:lineRule="auto"/>
        <w:tabs>
          <w:tab w:leader="none" w:pos="2490"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disposal by the Company of all or substantially all of its assets to any person other than an Affiliate of the Company;</w:t>
      </w:r>
    </w:p>
    <w:p>
      <w:pPr>
        <w:spacing w:after="0" w:line="157" w:lineRule="exact"/>
        <w:rPr>
          <w:rFonts w:ascii="Times New Roman" w:cs="Times New Roman" w:eastAsia="Times New Roman" w:hAnsi="Times New Roman"/>
          <w:sz w:val="22"/>
          <w:szCs w:val="22"/>
          <w:color w:val="auto"/>
        </w:rPr>
      </w:pPr>
    </w:p>
    <w:p>
      <w:pPr>
        <w:jc w:val="both"/>
        <w:ind w:left="660" w:right="20" w:firstLine="1288"/>
        <w:spacing w:after="0" w:line="257" w:lineRule="auto"/>
        <w:tabs>
          <w:tab w:leader="none" w:pos="2492"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spacing w:after="0" w:line="186" w:lineRule="exact"/>
        <w:rPr>
          <w:rFonts w:ascii="Times New Roman" w:cs="Times New Roman" w:eastAsia="Times New Roman" w:hAnsi="Times New Roman"/>
          <w:sz w:val="22"/>
          <w:szCs w:val="22"/>
          <w:color w:val="auto"/>
        </w:rPr>
      </w:pPr>
    </w:p>
    <w:p>
      <w:pPr>
        <w:jc w:val="both"/>
        <w:ind w:left="660" w:firstLine="1288"/>
        <w:spacing w:after="0" w:line="252" w:lineRule="auto"/>
        <w:tabs>
          <w:tab w:leader="none" w:pos="2492"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group (as defined in Section 13d(d)(3)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of the beneficial ownership (as defined in Section 13d(d)(3) of the Exchange Act) of more than 50% of the equity of the Company entitled to vote in the election of the Company’s directors (or the persons performing the functions of directors).</w:t>
      </w:r>
    </w:p>
    <w:p>
      <w:pPr>
        <w:spacing w:after="0" w:line="179"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Meaning of Termination of Employment</w:t>
      </w:r>
      <w:r>
        <w:rPr>
          <w:rFonts w:ascii="Times New Roman" w:cs="Times New Roman" w:eastAsia="Times New Roman" w:hAnsi="Times New Roman"/>
          <w:sz w:val="22"/>
          <w:szCs w:val="22"/>
          <w:color w:val="auto"/>
        </w:rPr>
        <w:t>. For all purposes of this Agreement, Executive shall be considered to have terminated employment with the Company when Executive incurs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with the Company within the meaning of Section 409A(a)(2)(A)(i)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spacing w:after="0" w:line="190" w:lineRule="exact"/>
        <w:rPr>
          <w:rFonts w:ascii="Times New Roman" w:cs="Times New Roman" w:eastAsia="Times New Roman" w:hAnsi="Times New Roman"/>
          <w:sz w:val="22"/>
          <w:szCs w:val="22"/>
          <w:color w:val="auto"/>
        </w:rPr>
      </w:pPr>
    </w:p>
    <w:p>
      <w:pPr>
        <w:ind w:left="-640" w:firstLine="644"/>
        <w:spacing w:after="0" w:line="275" w:lineRule="auto"/>
        <w:tabs>
          <w:tab w:leader="none" w:pos="5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 Disclosure of Opportunities</w:t>
      </w:r>
      <w:r>
        <w:rPr>
          <w:rFonts w:ascii="Times New Roman" w:cs="Times New Roman" w:eastAsia="Times New Roman" w:hAnsi="Times New Roman"/>
          <w:sz w:val="22"/>
          <w:szCs w:val="22"/>
          <w:color w:val="auto"/>
        </w:rPr>
        <w:t>. Executive agrees that Executive shall promptly disclose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any conflict of interest involving Executive upon Executive becoming aware of such conflict.</w:t>
      </w:r>
    </w:p>
    <w:p>
      <w:pPr>
        <w:spacing w:after="0" w:line="149" w:lineRule="exact"/>
        <w:rPr>
          <w:rFonts w:ascii="Times New Roman" w:cs="Times New Roman" w:eastAsia="Times New Roman" w:hAnsi="Times New Roman"/>
          <w:sz w:val="22"/>
          <w:szCs w:val="22"/>
          <w:color w:val="auto"/>
        </w:rPr>
      </w:pPr>
    </w:p>
    <w:p>
      <w:pPr>
        <w:jc w:val="both"/>
        <w:ind w:left="-640" w:firstLine="644"/>
        <w:spacing w:after="0" w:line="254" w:lineRule="auto"/>
        <w:tabs>
          <w:tab w:leader="none" w:pos="5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in the course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spacing w:after="0" w:line="177"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w:t>
      </w:r>
    </w:p>
    <w:p>
      <w:pPr>
        <w:sectPr>
          <w:pgSz w:w="11900" w:h="16838" w:orient="portrait"/>
          <w:cols w:equalWidth="0" w:num="1">
            <w:col w:w="10480"/>
          </w:cols>
          <w:pgMar w:left="1080" w:top="132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Information, whether now known or later to become known to Executive during the Employment Period.</w:t>
      </w:r>
    </w:p>
    <w:p>
      <w:pPr>
        <w:spacing w:after="0" w:line="220" w:lineRule="exact"/>
        <w:rPr>
          <w:sz w:val="20"/>
          <w:szCs w:val="20"/>
          <w:color w:val="auto"/>
        </w:rPr>
      </w:pPr>
    </w:p>
    <w:p>
      <w:pPr>
        <w:ind w:left="1820" w:hanging="528"/>
        <w:spacing w:after="0"/>
        <w:tabs>
          <w:tab w:leader="none" w:pos="18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8(a), Executive may make the following disclosures and uses of 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209" w:lineRule="exact"/>
        <w:rPr>
          <w:sz w:val="20"/>
          <w:szCs w:val="20"/>
          <w:color w:val="auto"/>
        </w:rPr>
      </w:pPr>
    </w:p>
    <w:p>
      <w:pPr>
        <w:ind w:left="640" w:firstLine="1186"/>
        <w:spacing w:after="0" w:line="271" w:lineRule="auto"/>
        <w:tabs>
          <w:tab w:leader="none" w:pos="2476"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executives or employees of the Company or its Affiliates who have a need to know the information in connection with the business of the Company or its Affiliates;</w:t>
      </w:r>
    </w:p>
    <w:p>
      <w:pPr>
        <w:spacing w:after="0" w:line="157" w:lineRule="exact"/>
        <w:rPr>
          <w:rFonts w:ascii="Times New Roman" w:cs="Times New Roman" w:eastAsia="Times New Roman" w:hAnsi="Times New Roman"/>
          <w:sz w:val="22"/>
          <w:szCs w:val="22"/>
          <w:color w:val="auto"/>
        </w:rPr>
      </w:pPr>
    </w:p>
    <w:p>
      <w:pPr>
        <w:ind w:left="640" w:right="20" w:firstLine="1126"/>
        <w:spacing w:after="0" w:line="271" w:lineRule="auto"/>
        <w:tabs>
          <w:tab w:leader="none" w:pos="2476"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incidental to Executive’s provision of services to the Company and its Affiliates consistent with the terms of this Agreement or that are approved by the Board;</w:t>
      </w:r>
    </w:p>
    <w:p>
      <w:pPr>
        <w:spacing w:after="0" w:line="157"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for the purpose of complying with any applicable laws or regulatory requirements; or</w:t>
      </w:r>
    </w:p>
    <w:p>
      <w:pPr>
        <w:spacing w:after="0" w:line="219" w:lineRule="exact"/>
        <w:rPr>
          <w:rFonts w:ascii="Times New Roman" w:cs="Times New Roman" w:eastAsia="Times New Roman" w:hAnsi="Times New Roman"/>
          <w:sz w:val="22"/>
          <w:szCs w:val="22"/>
          <w:color w:val="auto"/>
        </w:rPr>
      </w:pPr>
    </w:p>
    <w:p>
      <w:pPr>
        <w:jc w:val="both"/>
        <w:ind w:left="640" w:firstLine="1078"/>
        <w:spacing w:after="0" w:line="263" w:lineRule="auto"/>
        <w:tabs>
          <w:tab w:leader="none" w:pos="246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that Executive is legally compelled to make by deposition, interrogatory, request for documents, subpoena, civil investigative demand, order of a court of competent jurisdiction, or similar process, or otherwise by law.</w:t>
      </w:r>
    </w:p>
    <w:p>
      <w:pPr>
        <w:spacing w:after="0" w:line="167"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spacing w:after="0" w:line="178"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sectPr>
          <w:pgSz w:w="11900" w:h="16838" w:orient="portrait"/>
          <w:cols w:equalWidth="0" w:num="1">
            <w:col w:w="11120"/>
          </w:cols>
          <w:pgMar w:left="440" w:top="1327" w:right="339" w:bottom="1440" w:gutter="0" w:footer="0" w:header="0"/>
        </w:sectPr>
      </w:pPr>
    </w:p>
    <w:bookmarkStart w:id="131" w:name="page132"/>
    <w:bookmarkEnd w:id="131"/>
    <w:p>
      <w:pPr>
        <w:jc w:val="both"/>
        <w:ind w:left="-644" w:firstLine="1292"/>
        <w:spacing w:after="0" w:line="260" w:lineRule="auto"/>
        <w:tabs>
          <w:tab w:leader="none" w:pos="1189"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21"/>
          <w:szCs w:val="21"/>
          <w:u w:val="single" w:color="auto"/>
          <w:color w:val="auto"/>
        </w:rPr>
        <w:t>Governmental Authorities</w:t>
      </w:r>
      <w:r>
        <w:rPr>
          <w:rFonts w:ascii="Times New Roman" w:cs="Times New Roman" w:eastAsia="Times New Roman" w:hAnsi="Times New Roman"/>
          <w:sz w:val="21"/>
          <w:szCs w:val="21"/>
          <w:color w:val="auto"/>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pacing w:after="0" w:line="181" w:lineRule="exact"/>
        <w:rPr>
          <w:rFonts w:ascii="Times New Roman" w:cs="Times New Roman" w:eastAsia="Times New Roman" w:hAnsi="Times New Roman"/>
          <w:sz w:val="21"/>
          <w:szCs w:val="21"/>
          <w:color w:val="auto"/>
        </w:rPr>
      </w:pPr>
    </w:p>
    <w:p>
      <w:pPr>
        <w:ind w:left="536" w:hanging="536"/>
        <w:spacing w:after="0"/>
        <w:tabs>
          <w:tab w:leader="none" w:pos="5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spacing w:after="0" w:line="185"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the period set forth in Section 9(c) below, Executive shall not, without the prior written approval of the Company, directly or indirectly, for Executive or on behalf of or in conjunction with any other person or entity of whatever nature:</w:t>
      </w:r>
    </w:p>
    <w:p>
      <w:pPr>
        <w:spacing w:after="0" w:line="167" w:lineRule="exact"/>
        <w:rPr>
          <w:rFonts w:ascii="Times New Roman" w:cs="Times New Roman" w:eastAsia="Times New Roman" w:hAnsi="Times New Roman"/>
          <w:sz w:val="22"/>
          <w:szCs w:val="22"/>
          <w:color w:val="auto"/>
        </w:rPr>
      </w:pPr>
    </w:p>
    <w:p>
      <w:pPr>
        <w:jc w:val="both"/>
        <w:ind w:left="-4" w:firstLine="1186"/>
        <w:spacing w:after="0" w:line="250" w:lineRule="auto"/>
        <w:tabs>
          <w:tab w:leader="none" w:pos="1832"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Protected Affiliates</w:t>
      </w:r>
      <w:r>
        <w:rPr>
          <w:rFonts w:ascii="Times New Roman" w:cs="Times New Roman" w:eastAsia="Times New Roman" w:hAnsi="Times New Roman"/>
          <w:sz w:val="22"/>
          <w:szCs w:val="22"/>
          <w:color w:val="auto"/>
        </w:rPr>
        <w:t>” means any Affiliate of the Company for which Executive provided services during the period of Executive’s employment with the Company, or about which Executive obtained Confidential Information during the period of Executive’s employment with the Company.</w:t>
      </w:r>
    </w:p>
    <w:p>
      <w:pPr>
        <w:sectPr>
          <w:pgSz w:w="11900" w:h="16838" w:orient="portrait"/>
          <w:cols w:equalWidth="0" w:num="1">
            <w:col w:w="10476"/>
          </w:cols>
          <w:pgMar w:left="1084" w:top="1327" w:right="339" w:bottom="1440" w:gutter="0" w:footer="0" w:header="0"/>
        </w:sectPr>
      </w:pPr>
    </w:p>
    <w:bookmarkStart w:id="132" w:name="page133"/>
    <w:bookmarkEnd w:id="132"/>
    <w:p>
      <w:pPr>
        <w:jc w:val="both"/>
        <w:ind w:left="640" w:firstLine="1126"/>
        <w:spacing w:after="0" w:line="256" w:lineRule="auto"/>
        <w:tabs>
          <w:tab w:leader="none" w:pos="247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spacing w:after="0" w:line="176"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employee of the Company or its Affiliates to terminate his or her employment therewith.</w:t>
      </w:r>
    </w:p>
    <w:p>
      <w:pPr>
        <w:spacing w:after="0" w:line="231" w:lineRule="exact"/>
        <w:rPr>
          <w:rFonts w:ascii="Times New Roman" w:cs="Times New Roman" w:eastAsia="Times New Roman" w:hAnsi="Times New Roman"/>
          <w:sz w:val="21"/>
          <w:szCs w:val="21"/>
          <w:color w:val="auto"/>
        </w:rPr>
      </w:pPr>
    </w:p>
    <w:p>
      <w:pPr>
        <w:jc w:val="both"/>
        <w:ind w:firstLine="1292"/>
        <w:spacing w:after="0" w:line="257" w:lineRule="auto"/>
        <w:tabs>
          <w:tab w:leader="none" w:pos="18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Timeframe of Non-Competition and Non-Solicitation Agreement</w:t>
      </w:r>
      <w:r>
        <w:rPr>
          <w:rFonts w:ascii="Times New Roman" w:cs="Times New Roman" w:eastAsia="Times New Roman" w:hAnsi="Times New Roman"/>
          <w:sz w:val="22"/>
          <w:szCs w:val="22"/>
          <w:color w:val="auto"/>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spacing w:after="0" w:line="172" w:lineRule="exact"/>
        <w:rPr>
          <w:rFonts w:ascii="Times New Roman" w:cs="Times New Roman" w:eastAsia="Times New Roman" w:hAnsi="Times New Roman"/>
          <w:sz w:val="22"/>
          <w:szCs w:val="22"/>
          <w:color w:val="auto"/>
        </w:rPr>
      </w:pPr>
    </w:p>
    <w:p>
      <w:pPr>
        <w:jc w:val="both"/>
        <w:ind w:firstLine="1292"/>
        <w:spacing w:after="0" w:line="265" w:lineRule="auto"/>
        <w:tabs>
          <w:tab w:leader="none" w:pos="183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spacing w:after="0" w:line="182" w:lineRule="exact"/>
        <w:rPr>
          <w:rFonts w:ascii="Times New Roman" w:cs="Times New Roman" w:eastAsia="Times New Roman" w:hAnsi="Times New Roman"/>
          <w:sz w:val="21"/>
          <w:szCs w:val="21"/>
          <w:color w:val="auto"/>
        </w:rPr>
      </w:pPr>
    </w:p>
    <w:p>
      <w:pPr>
        <w:jc w:val="both"/>
        <w:ind w:firstLine="1292"/>
        <w:spacing w:after="0" w:line="250" w:lineRule="auto"/>
        <w:tabs>
          <w:tab w:leader="none" w:pos="18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spacing w:after="0" w:line="194" w:lineRule="exact"/>
        <w:rPr>
          <w:rFonts w:ascii="Times New Roman" w:cs="Times New Roman" w:eastAsia="Times New Roman" w:hAnsi="Times New Roman"/>
          <w:sz w:val="22"/>
          <w:szCs w:val="22"/>
          <w:color w:val="auto"/>
        </w:rPr>
      </w:pPr>
    </w:p>
    <w:p>
      <w:pPr>
        <w:ind w:left="1840" w:hanging="548"/>
        <w:spacing w:after="0"/>
        <w:tabs>
          <w:tab w:leader="none" w:pos="1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96" w:lineRule="exact"/>
        <w:rPr>
          <w:sz w:val="20"/>
          <w:szCs w:val="20"/>
          <w:color w:val="auto"/>
        </w:rPr>
      </w:pPr>
    </w:p>
    <w:p>
      <w:pPr>
        <w:ind w:left="640" w:right="2800" w:firstLine="1186"/>
        <w:spacing w:after="0" w:line="271" w:lineRule="auto"/>
        <w:tabs>
          <w:tab w:leader="none" w:pos="2476"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57" w:lineRule="exact"/>
        <w:rPr>
          <w:rFonts w:ascii="Times New Roman" w:cs="Times New Roman" w:eastAsia="Times New Roman" w:hAnsi="Times New Roman"/>
          <w:sz w:val="22"/>
          <w:szCs w:val="22"/>
          <w:color w:val="auto"/>
        </w:rPr>
      </w:pPr>
    </w:p>
    <w:p>
      <w:pPr>
        <w:jc w:val="both"/>
        <w:ind w:left="640" w:firstLine="1126"/>
        <w:spacing w:after="0" w:line="263" w:lineRule="auto"/>
        <w:tabs>
          <w:tab w:leader="none" w:pos="2476"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Area</w:t>
      </w:r>
      <w:r>
        <w:rPr>
          <w:rFonts w:ascii="Times New Roman" w:cs="Times New Roman" w:eastAsia="Times New Roman" w:hAnsi="Times New Roman"/>
          <w:sz w:val="22"/>
          <w:szCs w:val="22"/>
          <w:color w:val="auto"/>
        </w:rPr>
        <w:t>” shall mean any location or geographic area within 75 miles of a location where the Company or its Affiliates conducts Business, or has plans to conduct Business of which Executive is aware, during the period of Executive’s employment with the Company.</w:t>
      </w:r>
    </w:p>
    <w:p>
      <w:pPr>
        <w:spacing w:after="0" w:line="167" w:lineRule="exact"/>
        <w:rPr>
          <w:rFonts w:ascii="Times New Roman" w:cs="Times New Roman" w:eastAsia="Times New Roman" w:hAnsi="Times New Roman"/>
          <w:sz w:val="22"/>
          <w:szCs w:val="22"/>
          <w:color w:val="auto"/>
        </w:rPr>
      </w:pPr>
    </w:p>
    <w:p>
      <w:pPr>
        <w:jc w:val="both"/>
        <w:ind w:firstLine="1292"/>
        <w:spacing w:after="0" w:line="275" w:lineRule="auto"/>
        <w:tabs>
          <w:tab w:leader="none" w:pos="1831"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spacing w:after="0" w:line="151" w:lineRule="exact"/>
        <w:rPr>
          <w:rFonts w:ascii="Times New Roman" w:cs="Times New Roman" w:eastAsia="Times New Roman" w:hAnsi="Times New Roman"/>
          <w:sz w:val="21"/>
          <w:szCs w:val="21"/>
          <w:color w:val="auto"/>
        </w:rPr>
      </w:pPr>
    </w:p>
    <w:p>
      <w:pPr>
        <w:ind w:firstLine="644"/>
        <w:spacing w:after="0" w:line="287" w:lineRule="auto"/>
        <w:tabs>
          <w:tab w:leader="none" w:pos="11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 Executive agrees that the Company or its applicable Affiliate shall own,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assigns, all right, title, and interest (including</w:t>
      </w:r>
    </w:p>
    <w:p>
      <w:pPr>
        <w:sectPr>
          <w:pgSz w:w="11900" w:h="16838" w:orient="portrait"/>
          <w:cols w:equalWidth="0" w:num="1">
            <w:col w:w="11120"/>
          </w:cols>
          <w:pgMar w:left="440" w:top="1327" w:right="339" w:bottom="1440" w:gutter="0" w:footer="0" w:header="0"/>
        </w:sectPr>
      </w:pPr>
    </w:p>
    <w:bookmarkStart w:id="133" w:name="page134"/>
    <w:bookmarkEnd w:id="133"/>
    <w:p>
      <w:pPr>
        <w:jc w:val="both"/>
        <w:spacing w:after="0" w:line="247" w:lineRule="auto"/>
        <w:rPr>
          <w:sz w:val="20"/>
          <w:szCs w:val="20"/>
          <w:color w:val="auto"/>
        </w:rPr>
      </w:pPr>
      <w:r>
        <w:rPr>
          <w:rFonts w:ascii="Times New Roman" w:cs="Times New Roman" w:eastAsia="Times New Roman" w:hAnsi="Times New Roman"/>
          <w:sz w:val="22"/>
          <w:szCs w:val="22"/>
          <w:color w:val="auto"/>
        </w:rPr>
        <w:t>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183" w:lineRule="exact"/>
        <w:rPr>
          <w:sz w:val="20"/>
          <w:szCs w:val="20"/>
          <w:color w:val="auto"/>
        </w:rPr>
      </w:pPr>
    </w:p>
    <w:p>
      <w:pPr>
        <w:ind w:left="1180" w:hanging="536"/>
        <w:spacing w:after="0"/>
        <w:tabs>
          <w:tab w:leader="none" w:pos="1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0" w:lineRule="auto"/>
        <w:tabs>
          <w:tab w:leader="none" w:pos="1833"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 arbitration award shall be final and binding on both parties.</w:t>
      </w:r>
    </w:p>
    <w:p>
      <w:pPr>
        <w:spacing w:after="0" w:line="180"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under this Section 11 shall be heard by a single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parties agree that the Arbitrator and any court enforcing the award of the Arbitrator shall not have the right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award punitive or exemplary damages to any disputing party.</w:t>
      </w:r>
    </w:p>
    <w:p>
      <w:pPr>
        <w:sectPr>
          <w:pgSz w:w="11900" w:h="16838" w:orient="portrait"/>
          <w:cols w:equalWidth="0" w:num="1">
            <w:col w:w="11120"/>
          </w:cols>
          <w:pgMar w:left="440" w:top="1327" w:right="339" w:bottom="1440" w:gutter="0" w:footer="0" w:header="0"/>
        </w:sectPr>
      </w:pPr>
    </w:p>
    <w:bookmarkStart w:id="134" w:name="page135"/>
    <w:bookmarkEnd w:id="134"/>
    <w:p>
      <w:pPr>
        <w:jc w:val="both"/>
        <w:ind w:left="-644" w:firstLine="1292"/>
        <w:spacing w:after="0" w:line="257" w:lineRule="auto"/>
        <w:tabs>
          <w:tab w:leader="none" w:pos="118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spacing w:after="0" w:line="186" w:lineRule="exact"/>
        <w:rPr>
          <w:rFonts w:ascii="Times New Roman" w:cs="Times New Roman" w:eastAsia="Times New Roman" w:hAnsi="Times New Roman"/>
          <w:sz w:val="22"/>
          <w:szCs w:val="22"/>
          <w:color w:val="auto"/>
        </w:rPr>
      </w:pPr>
    </w:p>
    <w:p>
      <w:pPr>
        <w:jc w:val="both"/>
        <w:ind w:left="-644" w:firstLine="1292"/>
        <w:spacing w:after="0" w:line="252" w:lineRule="auto"/>
        <w:tabs>
          <w:tab w:leader="none" w:pos="1187"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remainder of any such dispute (beyond the application for emergency or temporary injunctive relief) shall be subject to arbitration under this Section.</w:t>
      </w:r>
    </w:p>
    <w:p>
      <w:pPr>
        <w:spacing w:after="0" w:line="179"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entering into the arbitration provisions of this Section 11, THE PARTIES EXPRESSLY ACKNOWLEDGE AND AGREE THAT THEY ARE KNOWINGLY, VOLUNTARILY, AND INTENTIONALLY WAIVING THEIR RIGHTS TO A JURY TRIAL.</w:t>
      </w:r>
    </w:p>
    <w:p>
      <w:pPr>
        <w:spacing w:after="0" w:line="167" w:lineRule="exact"/>
        <w:rPr>
          <w:rFonts w:ascii="Times New Roman" w:cs="Times New Roman" w:eastAsia="Times New Roman" w:hAnsi="Times New Roman"/>
          <w:sz w:val="22"/>
          <w:szCs w:val="22"/>
          <w:color w:val="auto"/>
        </w:rPr>
      </w:pPr>
    </w:p>
    <w:p>
      <w:pPr>
        <w:jc w:val="both"/>
        <w:ind w:left="-644" w:right="20" w:firstLine="1292"/>
        <w:spacing w:after="0" w:line="257" w:lineRule="auto"/>
        <w:tabs>
          <w:tab w:leader="none" w:pos="119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spacing w:after="0" w:line="168" w:lineRule="exact"/>
        <w:rPr>
          <w:rFonts w:ascii="Times New Roman" w:cs="Times New Roman" w:eastAsia="Times New Roman" w:hAnsi="Times New Roman"/>
          <w:sz w:val="22"/>
          <w:szCs w:val="22"/>
          <w:color w:val="auto"/>
        </w:rPr>
      </w:pPr>
    </w:p>
    <w:p>
      <w:pPr>
        <w:jc w:val="both"/>
        <w:ind w:left="-644" w:firstLine="644"/>
        <w:spacing w:after="0" w:line="252" w:lineRule="auto"/>
        <w:tabs>
          <w:tab w:leader="none" w:pos="5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Executive agrees that, during the Employment Period and thereafter, upon reasonable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spacing w:after="0" w:line="179" w:lineRule="exact"/>
        <w:rPr>
          <w:rFonts w:ascii="Times New Roman" w:cs="Times New Roman" w:eastAsia="Times New Roman" w:hAnsi="Times New Roman"/>
          <w:sz w:val="22"/>
          <w:szCs w:val="22"/>
          <w:color w:val="auto"/>
        </w:rPr>
      </w:pPr>
    </w:p>
    <w:p>
      <w:pPr>
        <w:jc w:val="both"/>
        <w:ind w:left="-644" w:firstLine="644"/>
        <w:spacing w:after="0" w:line="259" w:lineRule="auto"/>
        <w:tabs>
          <w:tab w:leader="none" w:pos="5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Withholdings</w:t>
      </w:r>
      <w:r>
        <w:rPr>
          <w:rFonts w:ascii="Times New Roman" w:cs="Times New Roman" w:eastAsia="Times New Roman" w:hAnsi="Times New Roman"/>
          <w:sz w:val="22"/>
          <w:szCs w:val="22"/>
          <w:color w:val="auto"/>
        </w:rPr>
        <w:t>. The Company may withhold and deduct from any payments made or to be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all federal, state, local, and other taxes as may be required pursuant to any law or governmental regulation or ruling and (b) any deductions consented to in writing by Executive.</w:t>
      </w:r>
    </w:p>
    <w:p>
      <w:pPr>
        <w:spacing w:after="0" w:line="166"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w:t>
      </w:r>
    </w:p>
    <w:p>
      <w:pPr>
        <w:sectPr>
          <w:pgSz w:w="11900" w:h="16838" w:orient="portrait"/>
          <w:cols w:equalWidth="0" w:num="1">
            <w:col w:w="10476"/>
          </w:cols>
          <w:pgMar w:left="1084" w:top="1327" w:right="339"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color w:val="auto"/>
        </w:rPr>
        <w:t>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spacing w:after="0" w:line="182" w:lineRule="exact"/>
        <w:rPr>
          <w:sz w:val="20"/>
          <w:szCs w:val="20"/>
          <w:color w:val="auto"/>
        </w:rPr>
      </w:pPr>
    </w:p>
    <w:p>
      <w:pPr>
        <w:jc w:val="both"/>
        <w:ind w:firstLine="644"/>
        <w:spacing w:after="0" w:line="251" w:lineRule="auto"/>
        <w:tabs>
          <w:tab w:leader="none" w:pos="11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Submission to Jurisdiction</w:t>
      </w:r>
      <w:r>
        <w:rPr>
          <w:rFonts w:ascii="Times New Roman" w:cs="Times New Roman" w:eastAsia="Times New Roman" w:hAnsi="Times New Roman"/>
          <w:sz w:val="22"/>
          <w:szCs w:val="22"/>
          <w:color w:val="auto"/>
        </w:rPr>
        <w:t>. This Agreement shall in all respects be construed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spacing w:after="0" w:line="175"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(including the offer letter executed by Executive and the Company and dated September 21, 2021)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spacing w:after="0" w:line="184" w:lineRule="exact"/>
        <w:rPr>
          <w:rFonts w:ascii="Times New Roman" w:cs="Times New Roman" w:eastAsia="Times New Roman" w:hAnsi="Times New Roman"/>
          <w:sz w:val="22"/>
          <w:szCs w:val="22"/>
          <w:color w:val="auto"/>
        </w:rPr>
      </w:pPr>
    </w:p>
    <w:p>
      <w:pPr>
        <w:jc w:val="both"/>
        <w:ind w:firstLine="644"/>
        <w:spacing w:after="0" w:line="252" w:lineRule="auto"/>
        <w:tabs>
          <w:tab w:leader="none" w:pos="11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spacing w:after="0" w:line="174" w:lineRule="exact"/>
        <w:rPr>
          <w:rFonts w:ascii="Times New Roman" w:cs="Times New Roman" w:eastAsia="Times New Roman" w:hAnsi="Times New Roman"/>
          <w:sz w:val="22"/>
          <w:szCs w:val="22"/>
          <w:color w:val="auto"/>
        </w:rPr>
      </w:pPr>
    </w:p>
    <w:p>
      <w:pPr>
        <w:jc w:val="both"/>
        <w:ind w:firstLine="644"/>
        <w:spacing w:after="0" w:line="264" w:lineRule="auto"/>
        <w:tabs>
          <w:tab w:leader="none" w:pos="118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Executive,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spacing w:after="0" w:line="165" w:lineRule="exact"/>
        <w:rPr>
          <w:rFonts w:ascii="Times New Roman" w:cs="Times New Roman" w:eastAsia="Times New Roman" w:hAnsi="Times New Roman"/>
          <w:sz w:val="21"/>
          <w:szCs w:val="21"/>
          <w:color w:val="auto"/>
        </w:rPr>
      </w:pPr>
    </w:p>
    <w:p>
      <w:pPr>
        <w:ind w:firstLine="644"/>
        <w:spacing w:after="0" w:line="275" w:lineRule="auto"/>
        <w:tabs>
          <w:tab w:leader="none" w:pos="11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Affiliates</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is defined as any person or entity Controlling,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Under Common Control with the Company. The</w:t>
      </w:r>
    </w:p>
    <w:p>
      <w:pPr>
        <w:sectPr>
          <w:pgSz w:w="11900" w:h="16838" w:orient="portrait"/>
          <w:cols w:equalWidth="0" w:num="1">
            <w:col w:w="11120"/>
          </w:cols>
          <w:pgMar w:left="440" w:top="1327" w:right="339" w:bottom="1440" w:gutter="0" w:footer="0" w:header="0"/>
        </w:sectPr>
      </w:pPr>
    </w:p>
    <w:bookmarkStart w:id="136" w:name="page137"/>
    <w:bookmarkEnd w:id="136"/>
    <w:p>
      <w:pPr>
        <w:jc w:val="both"/>
        <w:ind w:left="4"/>
        <w:spacing w:after="0" w:line="262" w:lineRule="auto"/>
        <w:rPr>
          <w:sz w:val="20"/>
          <w:szCs w:val="20"/>
          <w:color w:val="auto"/>
        </w:rPr>
      </w:pPr>
      <w:r>
        <w:rPr>
          <w:rFonts w:ascii="Times New Roman" w:cs="Times New Roman" w:eastAsia="Times New Roman" w:hAnsi="Times New Roman"/>
          <w:sz w:val="21"/>
          <w:szCs w:val="21"/>
          <w:color w:val="auto"/>
        </w:rPr>
        <w:t>term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the correlative terms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w:t>
      </w:r>
    </w:p>
    <w:p>
      <w:pPr>
        <w:spacing w:after="0" w:line="2" w:lineRule="exact"/>
        <w:rPr>
          <w:sz w:val="20"/>
          <w:szCs w:val="20"/>
          <w:color w:val="auto"/>
        </w:rPr>
      </w:pPr>
    </w:p>
    <w:p>
      <w:pPr>
        <w:jc w:val="both"/>
        <w:ind w:left="4" w:hanging="4"/>
        <w:spacing w:after="0" w:line="245" w:lineRule="auto"/>
        <w:tabs>
          <w:tab w:leader="none" w:pos="31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w:t>
      </w:r>
    </w:p>
    <w:p>
      <w:pPr>
        <w:spacing w:after="0" w:line="182" w:lineRule="exact"/>
        <w:rPr>
          <w:rFonts w:ascii="Times New Roman" w:cs="Times New Roman" w:eastAsia="Times New Roman" w:hAnsi="Times New Roman"/>
          <w:sz w:val="22"/>
          <w:szCs w:val="22"/>
          <w:color w:val="auto"/>
        </w:rPr>
      </w:pPr>
    </w:p>
    <w:p>
      <w:pPr>
        <w:jc w:val="both"/>
        <w:ind w:left="4" w:firstLine="644"/>
        <w:spacing w:after="0" w:line="258" w:lineRule="auto"/>
        <w:tabs>
          <w:tab w:leader="none" w:pos="119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Notices provided for in this Agreement shall be in writing and shall be deemed to have been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spacing w:after="0" w:line="172" w:lineRule="exact"/>
        <w:rPr>
          <w:sz w:val="20"/>
          <w:szCs w:val="20"/>
          <w:color w:val="auto"/>
        </w:rPr>
      </w:pPr>
    </w:p>
    <w:p>
      <w:pPr>
        <w:ind w:left="1824" w:right="4640" w:hanging="528"/>
        <w:spacing w:after="0" w:line="261" w:lineRule="auto"/>
        <w:tabs>
          <w:tab w:leader="none" w:pos="184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addressed to: Aviat Networks, Inc. 200 Parker Dr. Ste 100A</w:t>
      </w:r>
    </w:p>
    <w:p>
      <w:pPr>
        <w:ind w:left="18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Austin Texas 78728</w:t>
      </w:r>
    </w:p>
    <w:p>
      <w:pPr>
        <w:spacing w:after="0" w:line="196"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22"/>
          <w:szCs w:val="22"/>
          <w:color w:val="auto"/>
        </w:rPr>
        <w:t>Attention: Human Resources and Legal Departments</w:t>
      </w:r>
    </w:p>
    <w:p>
      <w:pPr>
        <w:spacing w:after="0" w:line="220" w:lineRule="exact"/>
        <w:rPr>
          <w:sz w:val="20"/>
          <w:szCs w:val="20"/>
          <w:color w:val="auto"/>
        </w:rPr>
      </w:pPr>
    </w:p>
    <w:p>
      <w:pPr>
        <w:ind w:left="1844" w:hanging="548"/>
        <w:spacing w:after="0"/>
        <w:tabs>
          <w:tab w:leader="none" w:pos="18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Executive, addressed to the most recent address the Company has in its employment records for</w:t>
      </w:r>
    </w:p>
    <w:p>
      <w:pPr>
        <w:spacing w:after="0" w:line="29"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203"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9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facsimile or “.pdf”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5"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19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Executive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spacing w:after="0" w:line="178" w:lineRule="exact"/>
        <w:rPr>
          <w:rFonts w:ascii="Times New Roman" w:cs="Times New Roman" w:eastAsia="Times New Roman" w:hAnsi="Times New Roman"/>
          <w:sz w:val="22"/>
          <w:szCs w:val="22"/>
          <w:color w:val="auto"/>
        </w:rPr>
      </w:pPr>
    </w:p>
    <w:p>
      <w:pPr>
        <w:ind w:left="4" w:firstLine="644"/>
        <w:spacing w:after="0" w:line="299" w:lineRule="auto"/>
        <w:tabs>
          <w:tab w:leader="none" w:pos="119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 Sections 6(f), 7-12, 22, and 24 and those provisions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 and enforce them, shall survive any termination of the employment relationship between Executive and the Company.</w:t>
      </w:r>
    </w:p>
    <w:p>
      <w:pPr>
        <w:sectPr>
          <w:pgSz w:w="11900" w:h="16838" w:orient="portrait"/>
          <w:cols w:equalWidth="0" w:num="1">
            <w:col w:w="11124"/>
          </w:cols>
          <w:pgMar w:left="436" w:top="1327" w:right="339" w:bottom="1440" w:gutter="0" w:footer="0" w:header="0"/>
        </w:sectPr>
      </w:pPr>
    </w:p>
    <w:bookmarkStart w:id="137" w:name="page138"/>
    <w:bookmarkEnd w:id="137"/>
    <w:p>
      <w:pPr>
        <w:ind w:left="-644" w:firstLine="644"/>
        <w:spacing w:after="0" w:line="275" w:lineRule="auto"/>
        <w:tabs>
          <w:tab w:leader="none" w:pos="5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Affiliate of the Company shall be a third-party beneficiary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Sections 7, 8, 9, 10, and 22 and shall be entitled to enforce such obligations as if a party hereto.</w:t>
      </w:r>
    </w:p>
    <w:p>
      <w:pPr>
        <w:spacing w:after="0" w:line="149" w:lineRule="exact"/>
        <w:rPr>
          <w:rFonts w:ascii="Times New Roman" w:cs="Times New Roman" w:eastAsia="Times New Roman" w:hAnsi="Times New Roman"/>
          <w:sz w:val="22"/>
          <w:szCs w:val="22"/>
          <w:color w:val="auto"/>
        </w:rPr>
      </w:pPr>
    </w:p>
    <w:p>
      <w:pPr>
        <w:jc w:val="both"/>
        <w:ind w:left="-644" w:firstLine="644"/>
        <w:spacing w:after="0" w:line="258" w:lineRule="auto"/>
        <w:tabs>
          <w:tab w:leader="none" w:pos="5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Subject to Section 9(e), if an arbitrator or court of competent jurisdiction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spacing w:after="0" w:line="167" w:lineRule="exact"/>
        <w:rPr>
          <w:rFonts w:ascii="Times New Roman" w:cs="Times New Roman" w:eastAsia="Times New Roman" w:hAnsi="Times New Roman"/>
          <w:sz w:val="22"/>
          <w:szCs w:val="22"/>
          <w:color w:val="auto"/>
        </w:rPr>
      </w:pPr>
    </w:p>
    <w:p>
      <w:pPr>
        <w:jc w:val="both"/>
        <w:ind w:left="-644" w:firstLine="644"/>
        <w:spacing w:after="0" w:line="261" w:lineRule="auto"/>
        <w:tabs>
          <w:tab w:leader="none" w:pos="54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Notwithstanding any provision of this Agreement to the contrary, all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intended to comply with Section 409A of the Code, and the applicable Treasury regulations and administrative guidance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spacing w:after="0" w:line="170" w:lineRule="exact"/>
        <w:rPr>
          <w:rFonts w:ascii="Times New Roman" w:cs="Times New Roman" w:eastAsia="Times New Roman" w:hAnsi="Times New Roman"/>
          <w:sz w:val="21"/>
          <w:szCs w:val="21"/>
          <w:color w:val="auto"/>
        </w:rPr>
      </w:pPr>
    </w:p>
    <w:p>
      <w:pPr>
        <w:jc w:val="both"/>
        <w:ind w:left="-644" w:firstLine="644"/>
        <w:spacing w:after="0" w:line="249" w:lineRule="auto"/>
        <w:tabs>
          <w:tab w:leader="none" w:pos="5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To the extent required by Company policy, applicable law, government regulation, or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w:t>
      </w:r>
    </w:p>
    <w:p>
      <w:pPr>
        <w:spacing w:after="0" w:line="181" w:lineRule="exact"/>
        <w:rPr>
          <w:rFonts w:ascii="Times New Roman" w:cs="Times New Roman" w:eastAsia="Times New Roman" w:hAnsi="Times New Roman"/>
          <w:sz w:val="22"/>
          <w:szCs w:val="22"/>
          <w:color w:val="auto"/>
        </w:rPr>
      </w:pPr>
    </w:p>
    <w:p>
      <w:pPr>
        <w:jc w:val="both"/>
        <w:ind w:left="-644" w:firstLine="644"/>
        <w:spacing w:after="0" w:line="266" w:lineRule="auto"/>
        <w:tabs>
          <w:tab w:leader="none" w:pos="54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to the contrary in this Agreement, if Executive is a “disqualified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w:t>
      </w:r>
    </w:p>
    <w:p>
      <w:pPr>
        <w:sectPr>
          <w:pgSz w:w="11900" w:h="16838" w:orient="portrait"/>
          <w:cols w:equalWidth="0" w:num="1">
            <w:col w:w="10476"/>
          </w:cols>
          <w:pgMar w:left="1084" w:top="1323" w:right="339" w:bottom="1440" w:gutter="0" w:footer="0" w:header="0"/>
        </w:sectPr>
      </w:pPr>
    </w:p>
    <w:bookmarkStart w:id="138" w:name="page139"/>
    <w:bookmarkEnd w:id="138"/>
    <w:p>
      <w:pPr>
        <w:jc w:val="both"/>
        <w:spacing w:after="0" w:line="247" w:lineRule="auto"/>
        <w:rPr>
          <w:sz w:val="20"/>
          <w:szCs w:val="20"/>
          <w:color w:val="auto"/>
        </w:rPr>
      </w:pPr>
      <w:r>
        <w:rPr>
          <w:rFonts w:ascii="Times New Roman" w:cs="Times New Roman" w:eastAsia="Times New Roman" w:hAnsi="Times New Roman"/>
          <w:sz w:val="22"/>
          <w:szCs w:val="22"/>
          <w:color w:val="auto"/>
        </w:rPr>
        <w:t>“base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was left blank intentionally; the signature page follows.</w:t>
      </w:r>
      <w:r>
        <w:rPr>
          <w:rFonts w:ascii="Times New Roman" w:cs="Times New Roman" w:eastAsia="Times New Roman" w:hAnsi="Times New Roman"/>
          <w:sz w:val="22"/>
          <w:szCs w:val="22"/>
          <w:color w:val="auto"/>
        </w:rPr>
        <w:t>]</w:t>
      </w:r>
    </w:p>
    <w:p>
      <w:pPr>
        <w:sectPr>
          <w:pgSz w:w="11900" w:h="16838" w:orient="portrait"/>
          <w:cols w:equalWidth="0" w:num="1">
            <w:col w:w="11120"/>
          </w:cols>
          <w:pgMar w:left="440" w:top="1327" w:right="339" w:bottom="1440" w:gutter="0" w:footer="0" w:header="0"/>
        </w:sectPr>
      </w:pPr>
    </w:p>
    <w:bookmarkStart w:id="139" w:name="page140"/>
    <w:bookmarkEnd w:id="139"/>
    <w:p>
      <w:pPr>
        <w:spacing w:after="0" w:line="11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Executive and the Company each have caused this Agreement to be executed in its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its behalf, effective for all purposes as provided above.</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David M. Gray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David M. Gray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Peter A. Smith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Peter A. Smith</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President, CEO</w:t>
      </w:r>
    </w:p>
    <w:p>
      <w:pPr>
        <w:sectPr>
          <w:pgSz w:w="11900" w:h="16838" w:orient="portrait"/>
          <w:cols w:equalWidth="0" w:num="1">
            <w:col w:w="11240"/>
          </w:cols>
          <w:pgMar w:left="320" w:top="1440" w:right="339" w:bottom="1440" w:gutter="0" w:footer="0" w:header="0"/>
        </w:sectPr>
      </w:pPr>
    </w:p>
    <w:bookmarkStart w:id="140" w:name="page141"/>
    <w:bookmarkEnd w:id="140"/>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15,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Erin R. Boase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4"/>
        <w:spacing w:after="0" w:line="265" w:lineRule="auto"/>
        <w:tabs>
          <w:tab w:leader="none" w:pos="11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During the period commencing on the Effective Date and for the duration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(as defined in Section 4 below), the Company shall employ Executive, and Executive shall serve as General Counsel &amp; Vice President, Legal Affairs of the Company.</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 and Responsibilities of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spacing w:after="0" w:line="178"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spacing w:after="0" w:line="178" w:lineRule="exact"/>
        <w:rPr>
          <w:rFonts w:ascii="Times New Roman" w:cs="Times New Roman" w:eastAsia="Times New Roman" w:hAnsi="Times New Roman"/>
          <w:sz w:val="22"/>
          <w:szCs w:val="22"/>
          <w:color w:val="auto"/>
        </w:rPr>
      </w:pPr>
    </w:p>
    <w:p>
      <w:pPr>
        <w:jc w:val="both"/>
        <w:ind w:firstLine="1292"/>
        <w:spacing w:after="0" w:line="249" w:lineRule="auto"/>
        <w:tabs>
          <w:tab w:leader="none" w:pos="183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spacing w:after="0" w:line="181"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you will report directly to Peter A. Smith, Chief Executive Officer.</w:t>
      </w:r>
    </w:p>
    <w:p>
      <w:pPr>
        <w:spacing w:after="0" w:line="215"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3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Executive’s annualized base salary shall be $318,000.02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pgSz w:w="11900" w:h="16838" w:orient="portrait"/>
          <w:cols w:equalWidth="0" w:num="1">
            <w:col w:w="11120"/>
          </w:cols>
          <w:pgMar w:left="440" w:top="1174" w:right="339" w:bottom="1440" w:gutter="0" w:footer="0" w:header="0"/>
        </w:sectPr>
      </w:pPr>
    </w:p>
    <w:bookmarkStart w:id="141" w:name="page142"/>
    <w:bookmarkEnd w:id="141"/>
    <w:p>
      <w:pPr>
        <w:jc w:val="both"/>
        <w:ind w:left="-644" w:firstLine="1292"/>
        <w:spacing w:after="0" w:line="260" w:lineRule="auto"/>
        <w:tabs>
          <w:tab w:leader="none" w:pos="1187"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Employment Period, Executive shall be eligible for discretionary bonus compensation for the 2024 fiscal year and each subsequent complete fiscal year that Executive is employed by the Company hereunder (each, a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pursuant to the applicable incentive or bonus compensation plan of the Company, if any, that is applicable to similarly situated executives of the Company (each, an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Each Annual Bonus shall have a target value that is not less than 40% of Executive’s Base Salary as in effect on the first day of the Bonus Year to which such Annual Bonus relates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Target Annual Bonus for the 2024 fiscal year shall have a target value of not less than $127,200.01. The performance targets that must be achieved in order to realize certain bonus levels shall be established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a committee thereof annually, in its sole discretion, and communicated to Executive in accordance with terms of the applicable incentive or bonus plan, if any, or if no such plan has been adopted, within the first 90 days of each applicable Bonus Year following 2024.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w:t>
      </w:r>
    </w:p>
    <w:p>
      <w:pPr>
        <w:spacing w:after="0" w:line="185" w:lineRule="exact"/>
        <w:rPr>
          <w:rFonts w:ascii="Times New Roman" w:cs="Times New Roman" w:eastAsia="Times New Roman" w:hAnsi="Times New Roman"/>
          <w:sz w:val="21"/>
          <w:szCs w:val="21"/>
          <w:color w:val="auto"/>
        </w:rPr>
      </w:pPr>
    </w:p>
    <w:p>
      <w:pPr>
        <w:jc w:val="both"/>
        <w:ind w:left="-644" w:firstLine="1292"/>
        <w:spacing w:after="0" w:line="249" w:lineRule="auto"/>
        <w:tabs>
          <w:tab w:leader="none" w:pos="118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With respect to the 2024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40% of Executive’s Base Salary as in effect on the first day of such fiscal year (the “</w:t>
      </w:r>
      <w:r>
        <w:rPr>
          <w:rFonts w:ascii="Times New Roman" w:cs="Times New Roman" w:eastAsia="Times New Roman" w:hAnsi="Times New Roman"/>
          <w:sz w:val="22"/>
          <w:szCs w:val="22"/>
          <w:u w:val="single" w:color="auto"/>
          <w:color w:val="auto"/>
        </w:rPr>
        <w:t>Target Annual LTIP Award</w:t>
      </w:r>
      <w:r>
        <w:rPr>
          <w:rFonts w:ascii="Times New Roman" w:cs="Times New Roman" w:eastAsia="Times New Roman" w:hAnsi="Times New Roman"/>
          <w:sz w:val="22"/>
          <w:szCs w:val="22"/>
          <w:color w:val="auto"/>
        </w:rPr>
        <w:t>”).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w:t>
      </w:r>
    </w:p>
    <w:p>
      <w:pPr>
        <w:spacing w:after="0" w:line="177"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current term of Executive’s employment under this Agreement is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Effective Date and ending on the first anniversary of the Effective Date (the “</w:t>
      </w:r>
      <w:r>
        <w:rPr>
          <w:rFonts w:ascii="Times New Roman" w:cs="Times New Roman" w:eastAsia="Times New Roman" w:hAnsi="Times New Roman"/>
          <w:sz w:val="22"/>
          <w:szCs w:val="22"/>
          <w:u w:val="single" w:color="auto"/>
          <w:color w:val="auto"/>
        </w:rPr>
        <w:t>Current Term</w:t>
      </w:r>
      <w:r>
        <w:rPr>
          <w:rFonts w:ascii="Times New Roman" w:cs="Times New Roman" w:eastAsia="Times New Roman" w:hAnsi="Times New Roman"/>
          <w:sz w:val="22"/>
          <w:szCs w:val="22"/>
          <w:color w:val="auto"/>
        </w:rPr>
        <w:t>”). On the first anniversary of the Effective Date and on each subsequent anniversary of the Effective Date, the term of Executive’s employment under this Agreement shall automatically renew and extend for a period of 12 months (each such 12-month period being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ectPr>
          <w:pgSz w:w="11900" w:h="16838" w:orient="portrait"/>
          <w:cols w:equalWidth="0" w:num="1">
            <w:col w:w="10476"/>
          </w:cols>
          <w:pgMar w:left="1084" w:top="1327" w:right="339" w:bottom="1440" w:gutter="0" w:footer="0" w:header="0"/>
        </w:sectPr>
      </w:pPr>
    </w:p>
    <w:bookmarkStart w:id="142" w:name="page143"/>
    <w:bookmarkEnd w:id="142"/>
    <w:p>
      <w:pPr>
        <w:ind w:left="-644" w:firstLine="644"/>
        <w:spacing w:after="0" w:line="275" w:lineRule="auto"/>
        <w:tabs>
          <w:tab w:leader="none" w:pos="5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Business Expenses; Benefits</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entitled to the following reimbursements and benefits during the Employment Period:</w:t>
      </w:r>
    </w:p>
    <w:p>
      <w:pPr>
        <w:spacing w:after="0" w:line="15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xml:space="preserve">. The Company agrees to reimburse Executive for Executive’s reasonable business-related expenses incurred in the performance of Executive’s duties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termination of Executive’s employment with the Company, in no event shall any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spacing w:after="0" w:line="197" w:lineRule="exact"/>
        <w:rPr>
          <w:rFonts w:ascii="Times New Roman" w:cs="Times New Roman" w:eastAsia="Times New Roman" w:hAnsi="Times New Roman"/>
          <w:sz w:val="22"/>
          <w:szCs w:val="22"/>
          <w:color w:val="auto"/>
        </w:rPr>
      </w:pPr>
    </w:p>
    <w:p>
      <w:pPr>
        <w:jc w:val="both"/>
        <w:ind w:left="-644" w:firstLine="1292"/>
        <w:spacing w:after="0" w:line="251" w:lineRule="auto"/>
        <w:tabs>
          <w:tab w:leader="none" w:pos="118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pacing w:after="0" w:line="177" w:lineRule="exact"/>
        <w:rPr>
          <w:rFonts w:ascii="Times New Roman" w:cs="Times New Roman" w:eastAsia="Times New Roman" w:hAnsi="Times New Roman"/>
          <w:sz w:val="22"/>
          <w:szCs w:val="22"/>
          <w:color w:val="auto"/>
        </w:rPr>
      </w:pPr>
    </w:p>
    <w:p>
      <w:pPr>
        <w:ind w:left="536" w:hanging="536"/>
        <w:spacing w:after="0"/>
        <w:tabs>
          <w:tab w:leader="none" w:pos="5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44" w:right="20" w:firstLine="1292"/>
        <w:spacing w:after="0" w:line="271" w:lineRule="auto"/>
        <w:tabs>
          <w:tab w:leader="none" w:pos="118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Executive’s Employment for Cause</w:t>
      </w:r>
      <w:r>
        <w:rPr>
          <w:rFonts w:ascii="Times New Roman" w:cs="Times New Roman" w:eastAsia="Times New Roman" w:hAnsi="Times New Roman"/>
          <w:sz w:val="22"/>
          <w:szCs w:val="22"/>
          <w:color w:val="auto"/>
        </w:rPr>
        <w:t>. The Company shall have the right to terminate Executive’s employment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w:t>
      </w:r>
    </w:p>
    <w:p>
      <w:pPr>
        <w:spacing w:after="0" w:line="157" w:lineRule="exact"/>
        <w:rPr>
          <w:rFonts w:ascii="Times New Roman" w:cs="Times New Roman" w:eastAsia="Times New Roman" w:hAnsi="Times New Roman"/>
          <w:sz w:val="22"/>
          <w:szCs w:val="22"/>
          <w:color w:val="auto"/>
        </w:rPr>
      </w:pPr>
    </w:p>
    <w:p>
      <w:pPr>
        <w:ind w:left="-4" w:firstLine="1186"/>
        <w:spacing w:after="0" w:line="271" w:lineRule="auto"/>
        <w:tabs>
          <w:tab w:leader="none" w:pos="1832"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policy established by the Company or any of its Affiliates including but not limited to policies regarding bribery and harassment and any other policies applicable to Executive;</w:t>
      </w:r>
    </w:p>
    <w:p>
      <w:pPr>
        <w:spacing w:after="0" w:line="171" w:lineRule="exact"/>
        <w:rPr>
          <w:rFonts w:ascii="Times New Roman" w:cs="Times New Roman" w:eastAsia="Times New Roman" w:hAnsi="Times New Roman"/>
          <w:sz w:val="22"/>
          <w:szCs w:val="22"/>
          <w:color w:val="auto"/>
        </w:rPr>
      </w:pPr>
    </w:p>
    <w:p>
      <w:pPr>
        <w:ind w:left="-4" w:firstLine="1126"/>
        <w:spacing w:after="0" w:line="271" w:lineRule="auto"/>
        <w:tabs>
          <w:tab w:leader="none" w:pos="1832"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acts of disloyalty to the Company or its Affiliates, including fraud, embezzlement, theft, commission of a felony, or proven dishonesty; or</w:t>
      </w:r>
    </w:p>
    <w:p>
      <w:pPr>
        <w:spacing w:after="0" w:line="157" w:lineRule="exact"/>
        <w:rPr>
          <w:rFonts w:ascii="Times New Roman" w:cs="Times New Roman" w:eastAsia="Times New Roman" w:hAnsi="Times New Roman"/>
          <w:sz w:val="22"/>
          <w:szCs w:val="22"/>
          <w:color w:val="auto"/>
        </w:rPr>
      </w:pPr>
    </w:p>
    <w:p>
      <w:pPr>
        <w:ind w:left="-4" w:firstLine="1065"/>
        <w:spacing w:after="0" w:line="271" w:lineRule="auto"/>
        <w:tabs>
          <w:tab w:leader="none" w:pos="1832"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in the performance of, or willful failure to perform a material function of, Executive’s duties under this Agreement.</w:t>
      </w:r>
    </w:p>
    <w:p>
      <w:pPr>
        <w:spacing w:after="0" w:line="157" w:lineRule="exact"/>
        <w:rPr>
          <w:rFonts w:ascii="Times New Roman" w:cs="Times New Roman" w:eastAsia="Times New Roman" w:hAnsi="Times New Roman"/>
          <w:sz w:val="22"/>
          <w:szCs w:val="22"/>
          <w:color w:val="auto"/>
        </w:rPr>
      </w:pPr>
    </w:p>
    <w:p>
      <w:pPr>
        <w:ind w:left="-644" w:firstLine="1292"/>
        <w:spacing w:after="0" w:line="284" w:lineRule="auto"/>
        <w:tabs>
          <w:tab w:leader="none" w:pos="118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for Convenience</w:t>
      </w:r>
      <w:r>
        <w:rPr>
          <w:rFonts w:ascii="Times New Roman" w:cs="Times New Roman" w:eastAsia="Times New Roman" w:hAnsi="Times New Roman"/>
          <w:sz w:val="22"/>
          <w:szCs w:val="22"/>
          <w:color w:val="auto"/>
        </w:rPr>
        <w:t>. The Company shall have the right to terminate Executive’s employment without Cause, with or without notice, at any time and for any reason or no reason at all.</w:t>
      </w:r>
    </w:p>
    <w:p>
      <w:pPr>
        <w:sectPr>
          <w:pgSz w:w="11900" w:h="16838" w:orient="portrait"/>
          <w:cols w:equalWidth="0" w:num="1">
            <w:col w:w="10476"/>
          </w:cols>
          <w:pgMar w:left="1084" w:top="1323" w:right="339" w:bottom="1440" w:gutter="0" w:footer="0" w:header="0"/>
        </w:sectPr>
      </w:pPr>
    </w:p>
    <w:bookmarkStart w:id="143" w:name="page144"/>
    <w:bookmarkEnd w:id="143"/>
    <w:p>
      <w:pPr>
        <w:ind w:firstLine="1292"/>
        <w:spacing w:after="0" w:line="271" w:lineRule="auto"/>
        <w:tabs>
          <w:tab w:leader="none" w:pos="183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Right to Terminate for Good Reason</w:t>
      </w:r>
      <w:r>
        <w:rPr>
          <w:rFonts w:ascii="Times New Roman" w:cs="Times New Roman" w:eastAsia="Times New Roman" w:hAnsi="Times New Roman"/>
          <w:sz w:val="22"/>
          <w:szCs w:val="22"/>
          <w:color w:val="auto"/>
        </w:rPr>
        <w:t>. Executive shall have the right to terminate Executive’s employment with the Company at any time for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57" w:lineRule="exact"/>
        <w:rPr>
          <w:rFonts w:ascii="Times New Roman" w:cs="Times New Roman" w:eastAsia="Times New Roman" w:hAnsi="Times New Roman"/>
          <w:sz w:val="22"/>
          <w:szCs w:val="22"/>
          <w:color w:val="auto"/>
        </w:rPr>
      </w:pPr>
    </w:p>
    <w:p>
      <w:pPr>
        <w:ind w:left="2480" w:hanging="654"/>
        <w:spacing w:after="0"/>
        <w:tabs>
          <w:tab w:leader="none" w:pos="248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title, or responsibilities;</w:t>
      </w:r>
    </w:p>
    <w:p>
      <w:pPr>
        <w:spacing w:after="0" w:line="233" w:lineRule="exact"/>
        <w:rPr>
          <w:rFonts w:ascii="Times New Roman" w:cs="Times New Roman" w:eastAsia="Times New Roman" w:hAnsi="Times New Roman"/>
          <w:sz w:val="22"/>
          <w:szCs w:val="22"/>
          <w:color w:val="auto"/>
        </w:rPr>
      </w:pPr>
    </w:p>
    <w:p>
      <w:pPr>
        <w:ind w:left="2480" w:hanging="714"/>
        <w:spacing w:after="0"/>
        <w:tabs>
          <w:tab w:leader="none" w:pos="248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Target Annual Bonus, or Target Annual LTIP</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195" w:lineRule="exact"/>
        <w:rPr>
          <w:rFonts w:ascii="Times New Roman" w:cs="Times New Roman" w:eastAsia="Times New Roman" w:hAnsi="Times New Roman"/>
          <w:sz w:val="22"/>
          <w:szCs w:val="22"/>
          <w:color w:val="auto"/>
        </w:rPr>
      </w:pPr>
    </w:p>
    <w:p>
      <w:pPr>
        <w:ind w:left="640" w:firstLine="1066"/>
        <w:spacing w:after="0" w:line="271" w:lineRule="auto"/>
        <w:tabs>
          <w:tab w:leader="none" w:pos="2476"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geographic location of Executive’s principal place of employment by more than 100 miles from the location of Executive’s principal place of employment as of the Effective Date; or</w:t>
      </w:r>
    </w:p>
    <w:p>
      <w:pPr>
        <w:spacing w:after="0" w:line="157" w:lineRule="exact"/>
        <w:rPr>
          <w:rFonts w:ascii="Times New Roman" w:cs="Times New Roman" w:eastAsia="Times New Roman" w:hAnsi="Times New Roman"/>
          <w:sz w:val="22"/>
          <w:szCs w:val="22"/>
          <w:color w:val="auto"/>
        </w:rPr>
      </w:pPr>
    </w:p>
    <w:p>
      <w:pPr>
        <w:ind w:left="2460" w:hanging="742"/>
        <w:spacing w:after="0"/>
        <w:tabs>
          <w:tab w:leader="none" w:pos="246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of a written notice of non-renewal of this Agreement to Executive.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spacing w:after="0" w:line="179" w:lineRule="exact"/>
        <w:rPr>
          <w:sz w:val="20"/>
          <w:szCs w:val="20"/>
          <w:color w:val="auto"/>
        </w:rPr>
      </w:pPr>
    </w:p>
    <w:p>
      <w:pPr>
        <w:jc w:val="both"/>
        <w:ind w:firstLine="1292"/>
        <w:spacing w:after="0" w:line="248" w:lineRule="auto"/>
        <w:tabs>
          <w:tab w:leader="none" w:pos="183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with the Company shall terminate upon the death or Disability of Executive.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w:t>
      </w:r>
    </w:p>
    <w:p>
      <w:pPr>
        <w:spacing w:after="0" w:line="185" w:lineRule="exact"/>
        <w:rPr>
          <w:rFonts w:ascii="Times New Roman" w:cs="Times New Roman" w:eastAsia="Times New Roman" w:hAnsi="Times New Roman"/>
          <w:sz w:val="22"/>
          <w:szCs w:val="22"/>
          <w:color w:val="auto"/>
        </w:rPr>
      </w:pPr>
    </w:p>
    <w:p>
      <w:pPr>
        <w:jc w:val="both"/>
        <w:ind w:firstLine="1292"/>
        <w:spacing w:after="0" w:line="268" w:lineRule="auto"/>
        <w:tabs>
          <w:tab w:leader="none" w:pos="183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Right to Terminate for Convenience</w:t>
      </w:r>
      <w:r>
        <w:rPr>
          <w:rFonts w:ascii="Times New Roman" w:cs="Times New Roman" w:eastAsia="Times New Roman" w:hAnsi="Times New Roman"/>
          <w:sz w:val="21"/>
          <w:szCs w:val="21"/>
          <w:color w:val="auto"/>
        </w:rPr>
        <w:t xml:space="preserve">. Executive shall have the right to terminate Executive’s employment with the Company for convenience at any time upon 60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sectPr>
          <w:pgSz w:w="11900" w:h="16838" w:orient="portrait"/>
          <w:cols w:equalWidth="0" w:num="1">
            <w:col w:w="11120"/>
          </w:cols>
          <w:pgMar w:left="440" w:top="1327" w:right="339" w:bottom="1440" w:gutter="0" w:footer="0" w:header="0"/>
        </w:sectPr>
      </w:pPr>
    </w:p>
    <w:bookmarkStart w:id="144" w:name="page145"/>
    <w:bookmarkEnd w:id="144"/>
    <w:p>
      <w:pPr>
        <w:spacing w:after="0" w:line="130" w:lineRule="exact"/>
        <w:rPr>
          <w:sz w:val="20"/>
          <w:szCs w:val="20"/>
          <w:color w:val="auto"/>
        </w:rPr>
      </w:pPr>
    </w:p>
    <w:p>
      <w:pPr>
        <w:ind w:left="840" w:hanging="548"/>
        <w:spacing w:after="0"/>
        <w:tabs>
          <w:tab w:leader="none" w:pos="8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60" w:firstLine="1185"/>
        <w:spacing w:after="0" w:line="249" w:lineRule="auto"/>
        <w:tabs>
          <w:tab w:leader="none" w:pos="147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spacing w:after="0" w:line="183" w:lineRule="exact"/>
        <w:rPr>
          <w:rFonts w:ascii="Times New Roman" w:cs="Times New Roman" w:eastAsia="Times New Roman" w:hAnsi="Times New Roman"/>
          <w:sz w:val="22"/>
          <w:szCs w:val="22"/>
          <w:color w:val="auto"/>
        </w:rPr>
      </w:pPr>
    </w:p>
    <w:p>
      <w:pPr>
        <w:jc w:val="both"/>
        <w:ind w:left="-360" w:firstLine="1126"/>
        <w:spacing w:after="0" w:line="249" w:lineRule="auto"/>
        <w:tabs>
          <w:tab w:leader="none" w:pos="147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abides by the terms of Sections 7, 8, 9, 10, and 12:</w:t>
      </w:r>
    </w:p>
    <w:p>
      <w:pPr>
        <w:spacing w:after="0" w:line="195"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213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 amount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equal to the product of (x) 1.0 (and, if such termination occurs within three months preceeding or 12 months following a Change in Control (as defined below), 1.0) and (y) the sum of Executive’s Base Salary as in effect on the date of the termination of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Executive’s prorated Annual Bonus as of the Termination Date (or, if such termination occurs within three months preceeding or 12 months following a Change in Control, the target bonus). The Severance Payment will be paid in a lump sum, subject to all applicable taxes on or before the Company’s first regularly scheduled pay date that is on or after the date that is 60 days after the Termination Date.</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53" w:lineRule="auto"/>
        <w:tabs>
          <w:tab w:leader="none" w:pos="2132"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sectPr>
          <w:pgSz w:w="11900" w:h="16838" w:orient="portrait"/>
          <w:cols w:equalWidth="0" w:num="1">
            <w:col w:w="10120"/>
          </w:cols>
          <w:pgMar w:left="1440" w:top="1440" w:right="339" w:bottom="1440" w:gutter="0" w:footer="0" w:header="0"/>
        </w:sectPr>
      </w:pPr>
    </w:p>
    <w:bookmarkStart w:id="145" w:name="page146"/>
    <w:bookmarkEnd w:id="145"/>
    <w:p>
      <w:pPr>
        <w:jc w:val="both"/>
        <w:ind w:left="660" w:firstLine="1288"/>
        <w:spacing w:after="0" w:line="247" w:lineRule="auto"/>
        <w:tabs>
          <w:tab w:leader="none" w:pos="249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used herein,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xml:space="preserve">”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COBRA Continuation Period shall immediately terminate upon the earlier of (1) the time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spacing w:after="0" w:line="172" w:lineRule="exact"/>
        <w:rPr>
          <w:sz w:val="20"/>
          <w:szCs w:val="20"/>
          <w:color w:val="auto"/>
        </w:rPr>
      </w:pPr>
    </w:p>
    <w:p>
      <w:pPr>
        <w:jc w:val="both"/>
        <w:ind w:firstLine="1066"/>
        <w:spacing w:after="0" w:line="265" w:lineRule="auto"/>
        <w:tabs>
          <w:tab w:leader="none" w:pos="183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21 days following the date upon which the Company delivers the Release to Executive (which shall occur no later than seven days after the Termination Date) or, in the event that such termination of employment is “in connection with an exit incentive or other</w:t>
      </w:r>
    </w:p>
    <w:p>
      <w:pPr>
        <w:sectPr>
          <w:pgSz w:w="11900" w:h="16838" w:orient="portrait"/>
          <w:cols w:equalWidth="0" w:num="1">
            <w:col w:w="10480"/>
          </w:cols>
          <w:pgMar w:left="1080" w:top="1327" w:right="339" w:bottom="1440" w:gutter="0" w:footer="0" w:header="0"/>
        </w:sectPr>
      </w:pPr>
    </w:p>
    <w:bookmarkStart w:id="146" w:name="page147"/>
    <w:bookmarkEnd w:id="146"/>
    <w:p>
      <w:pPr>
        <w:spacing w:after="0" w:line="271" w:lineRule="auto"/>
        <w:rPr>
          <w:sz w:val="20"/>
          <w:szCs w:val="20"/>
          <w:color w:val="auto"/>
        </w:rPr>
      </w:pPr>
      <w:r>
        <w:rPr>
          <w:rFonts w:ascii="Times New Roman" w:cs="Times New Roman" w:eastAsia="Times New Roman" w:hAnsi="Times New Roman"/>
          <w:sz w:val="22"/>
          <w:szCs w:val="22"/>
          <w:color w:val="auto"/>
        </w:rPr>
        <w:t>employment termination program” (as such phrase is defined in the Age Discrimination in Employment Act of 1967, as amended), the date that is 45 days following such delivery date.</w:t>
      </w:r>
    </w:p>
    <w:p>
      <w:pPr>
        <w:spacing w:after="0" w:line="158" w:lineRule="exact"/>
        <w:rPr>
          <w:sz w:val="20"/>
          <w:szCs w:val="20"/>
          <w:color w:val="auto"/>
        </w:rPr>
      </w:pPr>
    </w:p>
    <w:p>
      <w:pPr>
        <w:ind w:firstLine="1078"/>
        <w:spacing w:after="0" w:line="284" w:lineRule="auto"/>
        <w:tabs>
          <w:tab w:leader="none" w:pos="1822"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one or more of the following transactions following the Effective Date:</w:t>
      </w:r>
    </w:p>
    <w:p>
      <w:pPr>
        <w:spacing w:after="0" w:line="143" w:lineRule="exact"/>
        <w:rPr>
          <w:rFonts w:ascii="Times New Roman" w:cs="Times New Roman" w:eastAsia="Times New Roman" w:hAnsi="Times New Roman"/>
          <w:sz w:val="22"/>
          <w:szCs w:val="22"/>
          <w:color w:val="auto"/>
        </w:rPr>
      </w:pPr>
    </w:p>
    <w:p>
      <w:pPr>
        <w:ind w:left="660" w:firstLine="1288"/>
        <w:spacing w:after="0" w:line="271" w:lineRule="auto"/>
        <w:tabs>
          <w:tab w:leader="none" w:pos="2490" w:val="left"/>
        </w:tabs>
        <w:numPr>
          <w:ilvl w:val="3"/>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disposal by the Company of all or substantially all of its assets to any person other than an Affiliate of the Company;</w:t>
      </w:r>
    </w:p>
    <w:p>
      <w:pPr>
        <w:spacing w:after="0" w:line="157" w:lineRule="exact"/>
        <w:rPr>
          <w:rFonts w:ascii="Times New Roman" w:cs="Times New Roman" w:eastAsia="Times New Roman" w:hAnsi="Times New Roman"/>
          <w:sz w:val="22"/>
          <w:szCs w:val="22"/>
          <w:color w:val="auto"/>
        </w:rPr>
      </w:pPr>
    </w:p>
    <w:p>
      <w:pPr>
        <w:jc w:val="both"/>
        <w:ind w:left="660" w:right="20" w:firstLine="1288"/>
        <w:spacing w:after="0" w:line="257" w:lineRule="auto"/>
        <w:tabs>
          <w:tab w:leader="none" w:pos="2492" w:val="left"/>
        </w:tabs>
        <w:numPr>
          <w:ilvl w:val="3"/>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spacing w:after="0" w:line="186" w:lineRule="exact"/>
        <w:rPr>
          <w:rFonts w:ascii="Times New Roman" w:cs="Times New Roman" w:eastAsia="Times New Roman" w:hAnsi="Times New Roman"/>
          <w:sz w:val="22"/>
          <w:szCs w:val="22"/>
          <w:color w:val="auto"/>
        </w:rPr>
      </w:pPr>
    </w:p>
    <w:p>
      <w:pPr>
        <w:jc w:val="both"/>
        <w:ind w:left="660" w:firstLine="1288"/>
        <w:spacing w:after="0" w:line="252" w:lineRule="auto"/>
        <w:tabs>
          <w:tab w:leader="none" w:pos="2492" w:val="left"/>
        </w:tabs>
        <w:numPr>
          <w:ilvl w:val="3"/>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group (as defined in Section 13d(d)(3)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of the beneficial ownership (as defined in Section 13d(d)(3) of the Exchange Act) of more than 50% of the equity of the Company entitled to vote in the election of the Company’s directors (or the persons performing the functions of directors).</w:t>
      </w:r>
    </w:p>
    <w:p>
      <w:pPr>
        <w:spacing w:after="0" w:line="179"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Meaning of Termination of Employment</w:t>
      </w:r>
      <w:r>
        <w:rPr>
          <w:rFonts w:ascii="Times New Roman" w:cs="Times New Roman" w:eastAsia="Times New Roman" w:hAnsi="Times New Roman"/>
          <w:sz w:val="22"/>
          <w:szCs w:val="22"/>
          <w:color w:val="auto"/>
        </w:rPr>
        <w:t>. For all purposes of this Agreement, Executive shall be considered to have terminated employment with the Company when Executive incurs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with the Company within the meaning of Section 409A(a)(2)(A)(i)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spacing w:after="0" w:line="190" w:lineRule="exact"/>
        <w:rPr>
          <w:rFonts w:ascii="Times New Roman" w:cs="Times New Roman" w:eastAsia="Times New Roman" w:hAnsi="Times New Roman"/>
          <w:sz w:val="22"/>
          <w:szCs w:val="22"/>
          <w:color w:val="auto"/>
        </w:rPr>
      </w:pPr>
    </w:p>
    <w:p>
      <w:pPr>
        <w:ind w:left="-640" w:firstLine="644"/>
        <w:spacing w:after="0" w:line="275" w:lineRule="auto"/>
        <w:tabs>
          <w:tab w:leader="none" w:pos="5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 Disclosure of Opportunities</w:t>
      </w:r>
      <w:r>
        <w:rPr>
          <w:rFonts w:ascii="Times New Roman" w:cs="Times New Roman" w:eastAsia="Times New Roman" w:hAnsi="Times New Roman"/>
          <w:sz w:val="22"/>
          <w:szCs w:val="22"/>
          <w:color w:val="auto"/>
        </w:rPr>
        <w:t>. Executive agrees that Executive shall promptly disclose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any conflict of interest involving Executive upon Executive becoming aware of such conflict.</w:t>
      </w:r>
    </w:p>
    <w:p>
      <w:pPr>
        <w:spacing w:after="0" w:line="149" w:lineRule="exact"/>
        <w:rPr>
          <w:rFonts w:ascii="Times New Roman" w:cs="Times New Roman" w:eastAsia="Times New Roman" w:hAnsi="Times New Roman"/>
          <w:sz w:val="22"/>
          <w:szCs w:val="22"/>
          <w:color w:val="auto"/>
        </w:rPr>
      </w:pPr>
    </w:p>
    <w:p>
      <w:pPr>
        <w:jc w:val="both"/>
        <w:ind w:left="-640" w:firstLine="644"/>
        <w:spacing w:after="0" w:line="254" w:lineRule="auto"/>
        <w:tabs>
          <w:tab w:leader="none" w:pos="5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in the course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spacing w:after="0" w:line="177"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w:t>
      </w:r>
    </w:p>
    <w:p>
      <w:pPr>
        <w:sectPr>
          <w:pgSz w:w="11900" w:h="16838" w:orient="portrait"/>
          <w:cols w:equalWidth="0" w:num="1">
            <w:col w:w="10480"/>
          </w:cols>
          <w:pgMar w:left="1080" w:top="132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Information, whether now known or later to become known to Executive during the Employment Period.</w:t>
      </w:r>
    </w:p>
    <w:p>
      <w:pPr>
        <w:spacing w:after="0" w:line="220" w:lineRule="exact"/>
        <w:rPr>
          <w:sz w:val="20"/>
          <w:szCs w:val="20"/>
          <w:color w:val="auto"/>
        </w:rPr>
      </w:pPr>
    </w:p>
    <w:p>
      <w:pPr>
        <w:ind w:left="1820" w:hanging="528"/>
        <w:spacing w:after="0"/>
        <w:tabs>
          <w:tab w:leader="none" w:pos="18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8(a), Executive may make the following disclosures and uses of 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209" w:lineRule="exact"/>
        <w:rPr>
          <w:sz w:val="20"/>
          <w:szCs w:val="20"/>
          <w:color w:val="auto"/>
        </w:rPr>
      </w:pPr>
    </w:p>
    <w:p>
      <w:pPr>
        <w:ind w:left="640" w:firstLine="1186"/>
        <w:spacing w:after="0" w:line="271" w:lineRule="auto"/>
        <w:tabs>
          <w:tab w:leader="none" w:pos="2476"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executives or employees of the Company or its Affiliates who have a need to know the information in connection with the business of the Company or its Affiliates;</w:t>
      </w:r>
    </w:p>
    <w:p>
      <w:pPr>
        <w:spacing w:after="0" w:line="157" w:lineRule="exact"/>
        <w:rPr>
          <w:rFonts w:ascii="Times New Roman" w:cs="Times New Roman" w:eastAsia="Times New Roman" w:hAnsi="Times New Roman"/>
          <w:sz w:val="22"/>
          <w:szCs w:val="22"/>
          <w:color w:val="auto"/>
        </w:rPr>
      </w:pPr>
    </w:p>
    <w:p>
      <w:pPr>
        <w:ind w:left="640" w:right="20" w:firstLine="1126"/>
        <w:spacing w:after="0" w:line="271" w:lineRule="auto"/>
        <w:tabs>
          <w:tab w:leader="none" w:pos="2476"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incidental to Executive’s provision of services to the Company and its Affiliates consistent with the terms of this Agreement or that are approved by the Board;</w:t>
      </w:r>
    </w:p>
    <w:p>
      <w:pPr>
        <w:spacing w:after="0" w:line="157"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for the purpose of complying with any applicable laws or regulatory requirements; or</w:t>
      </w:r>
    </w:p>
    <w:p>
      <w:pPr>
        <w:spacing w:after="0" w:line="219" w:lineRule="exact"/>
        <w:rPr>
          <w:rFonts w:ascii="Times New Roman" w:cs="Times New Roman" w:eastAsia="Times New Roman" w:hAnsi="Times New Roman"/>
          <w:sz w:val="22"/>
          <w:szCs w:val="22"/>
          <w:color w:val="auto"/>
        </w:rPr>
      </w:pPr>
    </w:p>
    <w:p>
      <w:pPr>
        <w:jc w:val="both"/>
        <w:ind w:left="640" w:firstLine="1078"/>
        <w:spacing w:after="0" w:line="263" w:lineRule="auto"/>
        <w:tabs>
          <w:tab w:leader="none" w:pos="246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that Executive is legally compelled to make by deposition, interrogatory, request for documents, subpoena, civil investigative demand, order of a court of competent jurisdiction, or similar process, or otherwise by law.</w:t>
      </w:r>
    </w:p>
    <w:p>
      <w:pPr>
        <w:spacing w:after="0" w:line="167"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spacing w:after="0" w:line="178"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sectPr>
          <w:pgSz w:w="11900" w:h="16838" w:orient="portrait"/>
          <w:cols w:equalWidth="0" w:num="1">
            <w:col w:w="11120"/>
          </w:cols>
          <w:pgMar w:left="440" w:top="1327" w:right="339" w:bottom="1440" w:gutter="0" w:footer="0" w:header="0"/>
        </w:sectPr>
      </w:pPr>
    </w:p>
    <w:bookmarkStart w:id="148" w:name="page149"/>
    <w:bookmarkEnd w:id="148"/>
    <w:p>
      <w:pPr>
        <w:jc w:val="both"/>
        <w:ind w:left="-644" w:firstLine="1292"/>
        <w:spacing w:after="0" w:line="260" w:lineRule="auto"/>
        <w:tabs>
          <w:tab w:leader="none" w:pos="1189"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21"/>
          <w:szCs w:val="21"/>
          <w:u w:val="single" w:color="auto"/>
          <w:color w:val="auto"/>
        </w:rPr>
        <w:t>Governmental Authorities</w:t>
      </w:r>
      <w:r>
        <w:rPr>
          <w:rFonts w:ascii="Times New Roman" w:cs="Times New Roman" w:eastAsia="Times New Roman" w:hAnsi="Times New Roman"/>
          <w:sz w:val="21"/>
          <w:szCs w:val="21"/>
          <w:color w:val="auto"/>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pacing w:after="0" w:line="181" w:lineRule="exact"/>
        <w:rPr>
          <w:rFonts w:ascii="Times New Roman" w:cs="Times New Roman" w:eastAsia="Times New Roman" w:hAnsi="Times New Roman"/>
          <w:sz w:val="21"/>
          <w:szCs w:val="21"/>
          <w:color w:val="auto"/>
        </w:rPr>
      </w:pPr>
    </w:p>
    <w:p>
      <w:pPr>
        <w:ind w:left="536" w:hanging="536"/>
        <w:spacing w:after="0"/>
        <w:tabs>
          <w:tab w:leader="none" w:pos="5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spacing w:after="0" w:line="185"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7"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the period set forth in Section 9(c) below, Executive shall not, without the prior written approval of the Company, directly or indirectly, for Executive or on behalf of or in conjunction with any other person or entity of whatever nature:</w:t>
      </w:r>
    </w:p>
    <w:p>
      <w:pPr>
        <w:spacing w:after="0" w:line="167" w:lineRule="exact"/>
        <w:rPr>
          <w:rFonts w:ascii="Times New Roman" w:cs="Times New Roman" w:eastAsia="Times New Roman" w:hAnsi="Times New Roman"/>
          <w:sz w:val="22"/>
          <w:szCs w:val="22"/>
          <w:color w:val="auto"/>
        </w:rPr>
      </w:pPr>
    </w:p>
    <w:p>
      <w:pPr>
        <w:jc w:val="both"/>
        <w:ind w:left="-4" w:firstLine="1186"/>
        <w:spacing w:after="0" w:line="250" w:lineRule="auto"/>
        <w:tabs>
          <w:tab w:leader="none" w:pos="1832"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Protected Affiliates</w:t>
      </w:r>
      <w:r>
        <w:rPr>
          <w:rFonts w:ascii="Times New Roman" w:cs="Times New Roman" w:eastAsia="Times New Roman" w:hAnsi="Times New Roman"/>
          <w:sz w:val="22"/>
          <w:szCs w:val="22"/>
          <w:color w:val="auto"/>
        </w:rPr>
        <w:t>” means any Affiliate of the Company for which Executive provided services during the period of Executive’s employment with the Company, or about which Executive obtained Confidential Information during the period of Executive’s employment with the Company.</w:t>
      </w:r>
    </w:p>
    <w:p>
      <w:pPr>
        <w:sectPr>
          <w:pgSz w:w="11900" w:h="16838" w:orient="portrait"/>
          <w:cols w:equalWidth="0" w:num="1">
            <w:col w:w="10476"/>
          </w:cols>
          <w:pgMar w:left="1084" w:top="1327" w:right="339" w:bottom="1440" w:gutter="0" w:footer="0" w:header="0"/>
        </w:sectPr>
      </w:pPr>
    </w:p>
    <w:bookmarkStart w:id="149" w:name="page150"/>
    <w:bookmarkEnd w:id="149"/>
    <w:p>
      <w:pPr>
        <w:jc w:val="both"/>
        <w:ind w:left="640" w:firstLine="1126"/>
        <w:spacing w:after="0" w:line="256" w:lineRule="auto"/>
        <w:tabs>
          <w:tab w:leader="none" w:pos="247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spacing w:after="0" w:line="176"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employee of the Company or its Affiliates to terminate his or her employment therewith.</w:t>
      </w:r>
    </w:p>
    <w:p>
      <w:pPr>
        <w:spacing w:after="0" w:line="231" w:lineRule="exact"/>
        <w:rPr>
          <w:rFonts w:ascii="Times New Roman" w:cs="Times New Roman" w:eastAsia="Times New Roman" w:hAnsi="Times New Roman"/>
          <w:sz w:val="21"/>
          <w:szCs w:val="21"/>
          <w:color w:val="auto"/>
        </w:rPr>
      </w:pPr>
    </w:p>
    <w:p>
      <w:pPr>
        <w:jc w:val="both"/>
        <w:ind w:firstLine="1292"/>
        <w:spacing w:after="0" w:line="257" w:lineRule="auto"/>
        <w:tabs>
          <w:tab w:leader="none" w:pos="183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Timeframe of Non-Competition and Non-Solicitation Agreement</w:t>
      </w:r>
      <w:r>
        <w:rPr>
          <w:rFonts w:ascii="Times New Roman" w:cs="Times New Roman" w:eastAsia="Times New Roman" w:hAnsi="Times New Roman"/>
          <w:sz w:val="22"/>
          <w:szCs w:val="22"/>
          <w:color w:val="auto"/>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spacing w:after="0" w:line="172" w:lineRule="exact"/>
        <w:rPr>
          <w:rFonts w:ascii="Times New Roman" w:cs="Times New Roman" w:eastAsia="Times New Roman" w:hAnsi="Times New Roman"/>
          <w:sz w:val="22"/>
          <w:szCs w:val="22"/>
          <w:color w:val="auto"/>
        </w:rPr>
      </w:pPr>
    </w:p>
    <w:p>
      <w:pPr>
        <w:jc w:val="both"/>
        <w:ind w:firstLine="1292"/>
        <w:spacing w:after="0" w:line="265" w:lineRule="auto"/>
        <w:tabs>
          <w:tab w:leader="none" w:pos="183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spacing w:after="0" w:line="182" w:lineRule="exact"/>
        <w:rPr>
          <w:rFonts w:ascii="Times New Roman" w:cs="Times New Roman" w:eastAsia="Times New Roman" w:hAnsi="Times New Roman"/>
          <w:sz w:val="21"/>
          <w:szCs w:val="21"/>
          <w:color w:val="auto"/>
        </w:rPr>
      </w:pPr>
    </w:p>
    <w:p>
      <w:pPr>
        <w:jc w:val="both"/>
        <w:ind w:firstLine="1292"/>
        <w:spacing w:after="0" w:line="250" w:lineRule="auto"/>
        <w:tabs>
          <w:tab w:leader="none" w:pos="183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spacing w:after="0" w:line="194" w:lineRule="exact"/>
        <w:rPr>
          <w:rFonts w:ascii="Times New Roman" w:cs="Times New Roman" w:eastAsia="Times New Roman" w:hAnsi="Times New Roman"/>
          <w:sz w:val="22"/>
          <w:szCs w:val="22"/>
          <w:color w:val="auto"/>
        </w:rPr>
      </w:pPr>
    </w:p>
    <w:p>
      <w:pPr>
        <w:ind w:left="1840" w:hanging="548"/>
        <w:spacing w:after="0"/>
        <w:tabs>
          <w:tab w:leader="none" w:pos="18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96" w:lineRule="exact"/>
        <w:rPr>
          <w:sz w:val="20"/>
          <w:szCs w:val="20"/>
          <w:color w:val="auto"/>
        </w:rPr>
      </w:pPr>
    </w:p>
    <w:p>
      <w:pPr>
        <w:ind w:left="640" w:right="2800" w:firstLine="1186"/>
        <w:spacing w:after="0" w:line="271" w:lineRule="auto"/>
        <w:tabs>
          <w:tab w:leader="none" w:pos="2476"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57" w:lineRule="exact"/>
        <w:rPr>
          <w:rFonts w:ascii="Times New Roman" w:cs="Times New Roman" w:eastAsia="Times New Roman" w:hAnsi="Times New Roman"/>
          <w:sz w:val="22"/>
          <w:szCs w:val="22"/>
          <w:color w:val="auto"/>
        </w:rPr>
      </w:pPr>
    </w:p>
    <w:p>
      <w:pPr>
        <w:jc w:val="both"/>
        <w:ind w:left="640" w:firstLine="1126"/>
        <w:spacing w:after="0" w:line="263" w:lineRule="auto"/>
        <w:tabs>
          <w:tab w:leader="none" w:pos="2476"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Area</w:t>
      </w:r>
      <w:r>
        <w:rPr>
          <w:rFonts w:ascii="Times New Roman" w:cs="Times New Roman" w:eastAsia="Times New Roman" w:hAnsi="Times New Roman"/>
          <w:sz w:val="22"/>
          <w:szCs w:val="22"/>
          <w:color w:val="auto"/>
        </w:rPr>
        <w:t>” shall mean any location or geographic area within 75 miles of a location where the Company or its Affiliates conducts Business, or has plans to conduct Business of which Executive is aware, during the period of Executive’s employment with the Company.</w:t>
      </w:r>
    </w:p>
    <w:p>
      <w:pPr>
        <w:spacing w:after="0" w:line="167" w:lineRule="exact"/>
        <w:rPr>
          <w:rFonts w:ascii="Times New Roman" w:cs="Times New Roman" w:eastAsia="Times New Roman" w:hAnsi="Times New Roman"/>
          <w:sz w:val="22"/>
          <w:szCs w:val="22"/>
          <w:color w:val="auto"/>
        </w:rPr>
      </w:pPr>
    </w:p>
    <w:p>
      <w:pPr>
        <w:jc w:val="both"/>
        <w:ind w:firstLine="1292"/>
        <w:spacing w:after="0" w:line="275" w:lineRule="auto"/>
        <w:tabs>
          <w:tab w:leader="none" w:pos="1831"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spacing w:after="0" w:line="151" w:lineRule="exact"/>
        <w:rPr>
          <w:rFonts w:ascii="Times New Roman" w:cs="Times New Roman" w:eastAsia="Times New Roman" w:hAnsi="Times New Roman"/>
          <w:sz w:val="21"/>
          <w:szCs w:val="21"/>
          <w:color w:val="auto"/>
        </w:rPr>
      </w:pPr>
    </w:p>
    <w:p>
      <w:pPr>
        <w:ind w:firstLine="644"/>
        <w:spacing w:after="0" w:line="287" w:lineRule="auto"/>
        <w:tabs>
          <w:tab w:leader="none" w:pos="118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 Executive agrees that the Company or its applicable Affiliate shall own,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assigns, all right, title, and interest (including</w:t>
      </w:r>
    </w:p>
    <w:p>
      <w:pPr>
        <w:sectPr>
          <w:pgSz w:w="11900" w:h="16838" w:orient="portrait"/>
          <w:cols w:equalWidth="0" w:num="1">
            <w:col w:w="11120"/>
          </w:cols>
          <w:pgMar w:left="440" w:top="1327" w:right="339" w:bottom="1440" w:gutter="0" w:footer="0" w:header="0"/>
        </w:sectPr>
      </w:pPr>
    </w:p>
    <w:bookmarkStart w:id="150" w:name="page151"/>
    <w:bookmarkEnd w:id="150"/>
    <w:p>
      <w:pPr>
        <w:jc w:val="both"/>
        <w:spacing w:after="0" w:line="247" w:lineRule="auto"/>
        <w:rPr>
          <w:sz w:val="20"/>
          <w:szCs w:val="20"/>
          <w:color w:val="auto"/>
        </w:rPr>
      </w:pPr>
      <w:r>
        <w:rPr>
          <w:rFonts w:ascii="Times New Roman" w:cs="Times New Roman" w:eastAsia="Times New Roman" w:hAnsi="Times New Roman"/>
          <w:sz w:val="22"/>
          <w:szCs w:val="22"/>
          <w:color w:val="auto"/>
        </w:rPr>
        <w:t>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183" w:lineRule="exact"/>
        <w:rPr>
          <w:sz w:val="20"/>
          <w:szCs w:val="20"/>
          <w:color w:val="auto"/>
        </w:rPr>
      </w:pPr>
    </w:p>
    <w:p>
      <w:pPr>
        <w:ind w:left="1180" w:hanging="536"/>
        <w:spacing w:after="0"/>
        <w:tabs>
          <w:tab w:leader="none" w:pos="11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0" w:lineRule="auto"/>
        <w:tabs>
          <w:tab w:leader="none" w:pos="183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 arbitration award shall be final and binding on both parties.</w:t>
      </w:r>
    </w:p>
    <w:p>
      <w:pPr>
        <w:spacing w:after="0" w:line="180"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under this Section 11 shall be heard by a single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parties agree that the Arbitrator and any court enforcing the award of the Arbitrator shall not have the right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award punitive or exemplary damages to any disputing party.</w:t>
      </w:r>
    </w:p>
    <w:p>
      <w:pPr>
        <w:sectPr>
          <w:pgSz w:w="11900" w:h="16838" w:orient="portrait"/>
          <w:cols w:equalWidth="0" w:num="1">
            <w:col w:w="11120"/>
          </w:cols>
          <w:pgMar w:left="440" w:top="1327" w:right="339" w:bottom="1440" w:gutter="0" w:footer="0" w:header="0"/>
        </w:sectPr>
      </w:pPr>
    </w:p>
    <w:bookmarkStart w:id="151" w:name="page152"/>
    <w:bookmarkEnd w:id="151"/>
    <w:p>
      <w:pPr>
        <w:jc w:val="both"/>
        <w:ind w:left="-644" w:firstLine="1292"/>
        <w:spacing w:after="0" w:line="257" w:lineRule="auto"/>
        <w:tabs>
          <w:tab w:leader="none" w:pos="118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spacing w:after="0" w:line="186" w:lineRule="exact"/>
        <w:rPr>
          <w:rFonts w:ascii="Times New Roman" w:cs="Times New Roman" w:eastAsia="Times New Roman" w:hAnsi="Times New Roman"/>
          <w:sz w:val="22"/>
          <w:szCs w:val="22"/>
          <w:color w:val="auto"/>
        </w:rPr>
      </w:pPr>
    </w:p>
    <w:p>
      <w:pPr>
        <w:jc w:val="both"/>
        <w:ind w:left="-644" w:firstLine="1292"/>
        <w:spacing w:after="0" w:line="252" w:lineRule="auto"/>
        <w:tabs>
          <w:tab w:leader="none" w:pos="118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remainder of any such dispute (beyond the application for emergency or temporary injunctive relief) shall be subject to arbitration under this Section.</w:t>
      </w:r>
    </w:p>
    <w:p>
      <w:pPr>
        <w:spacing w:after="0" w:line="179"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entering into the arbitration provisions of this Section 11, THE PARTIES EXPRESSLY ACKNOWLEDGE AND AGREE THAT THEY ARE KNOWINGLY, VOLUNTARILY, AND INTENTIONALLY WAIVING THEIR RIGHTS TO A JURY TRIAL.</w:t>
      </w:r>
    </w:p>
    <w:p>
      <w:pPr>
        <w:spacing w:after="0" w:line="167" w:lineRule="exact"/>
        <w:rPr>
          <w:rFonts w:ascii="Times New Roman" w:cs="Times New Roman" w:eastAsia="Times New Roman" w:hAnsi="Times New Roman"/>
          <w:sz w:val="22"/>
          <w:szCs w:val="22"/>
          <w:color w:val="auto"/>
        </w:rPr>
      </w:pPr>
    </w:p>
    <w:p>
      <w:pPr>
        <w:jc w:val="both"/>
        <w:ind w:left="-644" w:right="20" w:firstLine="1292"/>
        <w:spacing w:after="0" w:line="257" w:lineRule="auto"/>
        <w:tabs>
          <w:tab w:leader="none" w:pos="119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spacing w:after="0" w:line="168" w:lineRule="exact"/>
        <w:rPr>
          <w:rFonts w:ascii="Times New Roman" w:cs="Times New Roman" w:eastAsia="Times New Roman" w:hAnsi="Times New Roman"/>
          <w:sz w:val="22"/>
          <w:szCs w:val="22"/>
          <w:color w:val="auto"/>
        </w:rPr>
      </w:pPr>
    </w:p>
    <w:p>
      <w:pPr>
        <w:jc w:val="both"/>
        <w:ind w:left="-644" w:firstLine="644"/>
        <w:spacing w:after="0" w:line="252" w:lineRule="auto"/>
        <w:tabs>
          <w:tab w:leader="none" w:pos="5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Executive agrees that, during the Employment Period and thereafter, upon reasonable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spacing w:after="0" w:line="179" w:lineRule="exact"/>
        <w:rPr>
          <w:rFonts w:ascii="Times New Roman" w:cs="Times New Roman" w:eastAsia="Times New Roman" w:hAnsi="Times New Roman"/>
          <w:sz w:val="22"/>
          <w:szCs w:val="22"/>
          <w:color w:val="auto"/>
        </w:rPr>
      </w:pPr>
    </w:p>
    <w:p>
      <w:pPr>
        <w:jc w:val="both"/>
        <w:ind w:left="-644" w:firstLine="644"/>
        <w:spacing w:after="0" w:line="259" w:lineRule="auto"/>
        <w:tabs>
          <w:tab w:leader="none" w:pos="5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Withholdings</w:t>
      </w:r>
      <w:r>
        <w:rPr>
          <w:rFonts w:ascii="Times New Roman" w:cs="Times New Roman" w:eastAsia="Times New Roman" w:hAnsi="Times New Roman"/>
          <w:sz w:val="22"/>
          <w:szCs w:val="22"/>
          <w:color w:val="auto"/>
        </w:rPr>
        <w:t>. The Company may withhold and deduct from any payments made or to be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all federal, state, local, and other taxes as may be required pursuant to any law or governmental regulation or ruling and (b) any deductions consented to in writing by Executive.</w:t>
      </w:r>
    </w:p>
    <w:p>
      <w:pPr>
        <w:spacing w:after="0" w:line="166"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w:t>
      </w:r>
    </w:p>
    <w:p>
      <w:pPr>
        <w:sectPr>
          <w:pgSz w:w="11900" w:h="16838" w:orient="portrait"/>
          <w:cols w:equalWidth="0" w:num="1">
            <w:col w:w="10476"/>
          </w:cols>
          <w:pgMar w:left="1084" w:top="1327" w:right="339"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2"/>
          <w:szCs w:val="22"/>
          <w:color w:val="auto"/>
        </w:rPr>
        <w:t>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spacing w:after="0" w:line="182" w:lineRule="exact"/>
        <w:rPr>
          <w:sz w:val="20"/>
          <w:szCs w:val="20"/>
          <w:color w:val="auto"/>
        </w:rPr>
      </w:pPr>
    </w:p>
    <w:p>
      <w:pPr>
        <w:jc w:val="both"/>
        <w:ind w:firstLine="644"/>
        <w:spacing w:after="0" w:line="251" w:lineRule="auto"/>
        <w:tabs>
          <w:tab w:leader="none" w:pos="11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Submission to Jurisdiction</w:t>
      </w:r>
      <w:r>
        <w:rPr>
          <w:rFonts w:ascii="Times New Roman" w:cs="Times New Roman" w:eastAsia="Times New Roman" w:hAnsi="Times New Roman"/>
          <w:sz w:val="22"/>
          <w:szCs w:val="22"/>
          <w:color w:val="auto"/>
        </w:rPr>
        <w:t>. This Agreement shall in all respects be construed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spacing w:after="0" w:line="175"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spacing w:after="0" w:line="190"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spacing w:after="0" w:line="193" w:lineRule="exact"/>
        <w:rPr>
          <w:rFonts w:ascii="Times New Roman" w:cs="Times New Roman" w:eastAsia="Times New Roman" w:hAnsi="Times New Roman"/>
          <w:sz w:val="22"/>
          <w:szCs w:val="22"/>
          <w:color w:val="auto"/>
        </w:rPr>
      </w:pPr>
    </w:p>
    <w:p>
      <w:pPr>
        <w:jc w:val="both"/>
        <w:ind w:firstLine="644"/>
        <w:spacing w:after="0" w:line="264" w:lineRule="auto"/>
        <w:tabs>
          <w:tab w:leader="none" w:pos="118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Executive,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spacing w:after="0" w:line="165" w:lineRule="exact"/>
        <w:rPr>
          <w:rFonts w:ascii="Times New Roman" w:cs="Times New Roman" w:eastAsia="Times New Roman" w:hAnsi="Times New Roman"/>
          <w:sz w:val="21"/>
          <w:szCs w:val="21"/>
          <w:color w:val="auto"/>
        </w:rPr>
      </w:pPr>
    </w:p>
    <w:p>
      <w:pPr>
        <w:jc w:val="both"/>
        <w:ind w:firstLine="644"/>
        <w:spacing w:after="0" w:line="259" w:lineRule="auto"/>
        <w:tabs>
          <w:tab w:leader="none" w:pos="11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Affiliates</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is defined as any person or entity Controlling,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Under Common Control with the Company.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correlative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w:t>
      </w:r>
    </w:p>
    <w:p>
      <w:pPr>
        <w:sectPr>
          <w:pgSz w:w="11900" w:h="16838" w:orient="portrait"/>
          <w:cols w:equalWidth="0" w:num="1">
            <w:col w:w="11120"/>
          </w:cols>
          <w:pgMar w:left="440" w:top="1327" w:right="339" w:bottom="1440" w:gutter="0" w:footer="0" w:header="0"/>
        </w:sectPr>
      </w:pPr>
    </w:p>
    <w:bookmarkStart w:id="153" w:name="page154"/>
    <w:bookmarkEnd w:id="153"/>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Common Control with</w:t>
      </w:r>
      <w:r>
        <w:rPr>
          <w:rFonts w:ascii="Times New Roman" w:cs="Times New Roman" w:eastAsia="Times New Roman" w:hAnsi="Times New Roman"/>
          <w:sz w:val="22"/>
          <w:szCs w:val="22"/>
          <w:color w:val="auto"/>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w:t>
      </w:r>
    </w:p>
    <w:p>
      <w:pPr>
        <w:spacing w:after="0" w:line="176" w:lineRule="exact"/>
        <w:rPr>
          <w:sz w:val="20"/>
          <w:szCs w:val="20"/>
          <w:color w:val="auto"/>
        </w:rPr>
      </w:pPr>
    </w:p>
    <w:p>
      <w:pPr>
        <w:jc w:val="both"/>
        <w:ind w:firstLine="644"/>
        <w:spacing w:after="0" w:line="258" w:lineRule="auto"/>
        <w:tabs>
          <w:tab w:leader="none" w:pos="118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Notices provided for in this Agreement shall be in writing and shall be deemed to have been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spacing w:after="0" w:line="172" w:lineRule="exact"/>
        <w:rPr>
          <w:sz w:val="20"/>
          <w:szCs w:val="20"/>
          <w:color w:val="auto"/>
        </w:rPr>
      </w:pPr>
    </w:p>
    <w:p>
      <w:pPr>
        <w:ind w:left="1820" w:right="4640" w:hanging="528"/>
        <w:spacing w:after="0" w:line="261" w:lineRule="auto"/>
        <w:tabs>
          <w:tab w:leader="none" w:pos="184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addressed to: Aviat Networks, Inc. 200 Parker Dr. Ste 100A</w:t>
      </w:r>
    </w:p>
    <w:p>
      <w:pPr>
        <w:ind w:left="1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Austin Texas 78728</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Attention: Human Resources and Legal Departments</w:t>
      </w:r>
    </w:p>
    <w:p>
      <w:pPr>
        <w:spacing w:after="0" w:line="220" w:lineRule="exact"/>
        <w:rPr>
          <w:sz w:val="20"/>
          <w:szCs w:val="20"/>
          <w:color w:val="auto"/>
        </w:rPr>
      </w:pPr>
    </w:p>
    <w:p>
      <w:pPr>
        <w:ind w:left="1840" w:hanging="548"/>
        <w:spacing w:after="0"/>
        <w:tabs>
          <w:tab w:leader="none" w:pos="18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Executive, addressed to the most recent address the Company has in its employment records for</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205" w:lineRule="exact"/>
        <w:rPr>
          <w:rFonts w:ascii="Times New Roman" w:cs="Times New Roman" w:eastAsia="Times New Roman" w:hAnsi="Times New Roman"/>
          <w:sz w:val="22"/>
          <w:szCs w:val="22"/>
          <w:color w:val="auto"/>
        </w:rPr>
      </w:pPr>
    </w:p>
    <w:p>
      <w:pPr>
        <w:jc w:val="both"/>
        <w:ind w:firstLine="644"/>
        <w:spacing w:after="0" w:line="253" w:lineRule="auto"/>
        <w:tabs>
          <w:tab w:leader="none" w:pos="118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facsimile or “.pdf”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5" w:lineRule="exact"/>
        <w:rPr>
          <w:rFonts w:ascii="Times New Roman" w:cs="Times New Roman" w:eastAsia="Times New Roman" w:hAnsi="Times New Roman"/>
          <w:sz w:val="22"/>
          <w:szCs w:val="22"/>
          <w:color w:val="auto"/>
        </w:rPr>
      </w:pPr>
    </w:p>
    <w:p>
      <w:pPr>
        <w:jc w:val="both"/>
        <w:ind w:firstLine="644"/>
        <w:spacing w:after="0" w:line="251" w:lineRule="auto"/>
        <w:tabs>
          <w:tab w:leader="none" w:pos="118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Executive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spacing w:after="0" w:line="178" w:lineRule="exact"/>
        <w:rPr>
          <w:rFonts w:ascii="Times New Roman" w:cs="Times New Roman" w:eastAsia="Times New Roman" w:hAnsi="Times New Roman"/>
          <w:sz w:val="22"/>
          <w:szCs w:val="22"/>
          <w:color w:val="auto"/>
        </w:rPr>
      </w:pPr>
    </w:p>
    <w:p>
      <w:pPr>
        <w:ind w:firstLine="644"/>
        <w:spacing w:after="0" w:line="299" w:lineRule="auto"/>
        <w:tabs>
          <w:tab w:leader="none" w:pos="118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 Sections 6(f), 7-12, 22, and 24 and those provisions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 and enforce them, shall survive any termination of the employment relationship between Executive and the Company.</w:t>
      </w:r>
    </w:p>
    <w:p>
      <w:pPr>
        <w:spacing w:after="0" w:line="127" w:lineRule="exact"/>
        <w:rPr>
          <w:rFonts w:ascii="Times New Roman" w:cs="Times New Roman" w:eastAsia="Times New Roman" w:hAnsi="Times New Roman"/>
          <w:sz w:val="21"/>
          <w:szCs w:val="21"/>
          <w:color w:val="auto"/>
        </w:rPr>
      </w:pPr>
    </w:p>
    <w:p>
      <w:pPr>
        <w:ind w:firstLine="644"/>
        <w:spacing w:after="0" w:line="275" w:lineRule="auto"/>
        <w:tabs>
          <w:tab w:leader="none" w:pos="118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Affiliate of the Company shall be a third-party beneficiary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Sections 7, 8, 9, 10, and 22 and shall be entitled to enforce such obligations as if a party hereto.</w:t>
      </w:r>
    </w:p>
    <w:p>
      <w:pPr>
        <w:sectPr>
          <w:pgSz w:w="11900" w:h="16838" w:orient="portrait"/>
          <w:cols w:equalWidth="0" w:num="1">
            <w:col w:w="11120"/>
          </w:cols>
          <w:pgMar w:left="440" w:top="1327" w:right="339" w:bottom="1440" w:gutter="0" w:footer="0" w:header="0"/>
        </w:sectPr>
      </w:pPr>
    </w:p>
    <w:bookmarkStart w:id="154" w:name="page155"/>
    <w:bookmarkEnd w:id="154"/>
    <w:p>
      <w:pPr>
        <w:jc w:val="both"/>
        <w:ind w:left="-644" w:firstLine="644"/>
        <w:spacing w:after="0" w:line="258" w:lineRule="auto"/>
        <w:tabs>
          <w:tab w:leader="none" w:pos="5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Subject to Section 9(e), if an arbitrator or court of competent jurisdiction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spacing w:after="0" w:line="167" w:lineRule="exact"/>
        <w:rPr>
          <w:rFonts w:ascii="Times New Roman" w:cs="Times New Roman" w:eastAsia="Times New Roman" w:hAnsi="Times New Roman"/>
          <w:sz w:val="22"/>
          <w:szCs w:val="22"/>
          <w:color w:val="auto"/>
        </w:rPr>
      </w:pPr>
    </w:p>
    <w:p>
      <w:pPr>
        <w:jc w:val="both"/>
        <w:ind w:left="-644" w:firstLine="644"/>
        <w:spacing w:after="0" w:line="260" w:lineRule="auto"/>
        <w:tabs>
          <w:tab w:leader="none" w:pos="54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Notwithstanding any provision of this Agreement to the contrary, all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intended to comply with Section 409A of the Code, and the applicable Treasury regulations and administrative guidance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spacing w:after="0" w:line="171" w:lineRule="exact"/>
        <w:rPr>
          <w:rFonts w:ascii="Times New Roman" w:cs="Times New Roman" w:eastAsia="Times New Roman" w:hAnsi="Times New Roman"/>
          <w:sz w:val="21"/>
          <w:szCs w:val="21"/>
          <w:color w:val="auto"/>
        </w:rPr>
      </w:pPr>
    </w:p>
    <w:p>
      <w:pPr>
        <w:jc w:val="both"/>
        <w:ind w:left="-644" w:firstLine="644"/>
        <w:spacing w:after="0" w:line="251" w:lineRule="auto"/>
        <w:tabs>
          <w:tab w:leader="none" w:pos="5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To the extent required by Company policy, applicable law, government regulation, or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w:t>
      </w:r>
    </w:p>
    <w:p>
      <w:pPr>
        <w:spacing w:after="0" w:line="178" w:lineRule="exact"/>
        <w:rPr>
          <w:rFonts w:ascii="Times New Roman" w:cs="Times New Roman" w:eastAsia="Times New Roman" w:hAnsi="Times New Roman"/>
          <w:sz w:val="22"/>
          <w:szCs w:val="22"/>
          <w:color w:val="auto"/>
        </w:rPr>
      </w:pPr>
    </w:p>
    <w:p>
      <w:pPr>
        <w:jc w:val="both"/>
        <w:ind w:left="-644" w:firstLine="644"/>
        <w:spacing w:after="0" w:line="248" w:lineRule="auto"/>
        <w:tabs>
          <w:tab w:leader="none" w:pos="5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this Agreement, if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w:t>
      </w:r>
    </w:p>
    <w:p>
      <w:pPr>
        <w:sectPr>
          <w:pgSz w:w="11900" w:h="16838" w:orient="portrait"/>
          <w:cols w:equalWidth="0" w:num="1">
            <w:col w:w="10476"/>
          </w:cols>
          <w:pgMar w:left="1084" w:top="1323" w:right="339" w:bottom="1440" w:gutter="0" w:footer="0" w:header="0"/>
        </w:sectPr>
      </w:pPr>
    </w:p>
    <w:bookmarkStart w:id="155" w:name="page156"/>
    <w:bookmarkEnd w:id="155"/>
    <w:p>
      <w:pPr>
        <w:jc w:val="both"/>
        <w:spacing w:after="0" w:line="247" w:lineRule="auto"/>
        <w:rPr>
          <w:sz w:val="20"/>
          <w:szCs w:val="20"/>
          <w:color w:val="auto"/>
        </w:rPr>
      </w:pPr>
      <w:r>
        <w:rPr>
          <w:rFonts w:ascii="Times New Roman" w:cs="Times New Roman" w:eastAsia="Times New Roman" w:hAnsi="Times New Roman"/>
          <w:sz w:val="22"/>
          <w:szCs w:val="22"/>
          <w:color w:val="auto"/>
        </w:rPr>
        <w:t>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was left blank intentionally; the signature page follows.</w:t>
      </w:r>
      <w:r>
        <w:rPr>
          <w:rFonts w:ascii="Times New Roman" w:cs="Times New Roman" w:eastAsia="Times New Roman" w:hAnsi="Times New Roman"/>
          <w:sz w:val="22"/>
          <w:szCs w:val="22"/>
          <w:color w:val="auto"/>
        </w:rPr>
        <w:t>]</w:t>
      </w:r>
    </w:p>
    <w:p>
      <w:pPr>
        <w:sectPr>
          <w:pgSz w:w="11900" w:h="16838" w:orient="portrait"/>
          <w:cols w:equalWidth="0" w:num="1">
            <w:col w:w="11120"/>
          </w:cols>
          <w:pgMar w:left="440" w:top="1327" w:right="339" w:bottom="1440" w:gutter="0" w:footer="0" w:header="0"/>
        </w:sectPr>
      </w:pPr>
    </w:p>
    <w:bookmarkStart w:id="156" w:name="page157"/>
    <w:bookmarkEnd w:id="156"/>
    <w:p>
      <w:pPr>
        <w:spacing w:after="0" w:line="11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Executive and the Company each have caused this Agreement to be executed in its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its behalf, effective for all purposes as provided above.</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Erin R. Boase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Erin R. Boase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Peter A. Smith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Peter A. Smith</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President, CEO</w:t>
      </w:r>
    </w:p>
    <w:p>
      <w:pPr>
        <w:sectPr>
          <w:pgSz w:w="11900" w:h="16838" w:orient="portrait"/>
          <w:cols w:equalWidth="0" w:num="1">
            <w:col w:w="11240"/>
          </w:cols>
          <w:pgMar w:left="320" w:top="1440" w:right="339" w:bottom="1440" w:gutter="0" w:footer="0" w:header="0"/>
        </w:sectPr>
      </w:pPr>
    </w:p>
    <w:bookmarkStart w:id="157" w:name="page158"/>
    <w:bookmarkEnd w:id="157"/>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15,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Gary G. Croke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4"/>
        <w:spacing w:after="0" w:line="265" w:lineRule="auto"/>
        <w:tabs>
          <w:tab w:leader="none" w:pos="118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During the period commencing on the Effective Date and for the duration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(as defined in Section 4 below), the Company shall employ Executive, and Executive shall serve as Vice President, Marketing &amp; Product Line Management of the Company.</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 and Responsibilities of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spacing w:after="0" w:line="178"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spacing w:after="0" w:line="178" w:lineRule="exact"/>
        <w:rPr>
          <w:rFonts w:ascii="Times New Roman" w:cs="Times New Roman" w:eastAsia="Times New Roman" w:hAnsi="Times New Roman"/>
          <w:sz w:val="22"/>
          <w:szCs w:val="22"/>
          <w:color w:val="auto"/>
        </w:rPr>
      </w:pPr>
    </w:p>
    <w:p>
      <w:pPr>
        <w:jc w:val="both"/>
        <w:ind w:firstLine="1292"/>
        <w:spacing w:after="0" w:line="249" w:lineRule="auto"/>
        <w:tabs>
          <w:tab w:leader="none" w:pos="183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spacing w:after="0" w:line="181"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you will report directly to Peter A. Smith, Chief Executive Officer.</w:t>
      </w:r>
    </w:p>
    <w:p>
      <w:pPr>
        <w:spacing w:after="0" w:line="215"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3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Executive’s annualized base salary shall be $259,998.18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pgSz w:w="11900" w:h="16838" w:orient="portrait"/>
          <w:cols w:equalWidth="0" w:num="1">
            <w:col w:w="11120"/>
          </w:cols>
          <w:pgMar w:left="440" w:top="1175" w:right="339" w:bottom="1440" w:gutter="0" w:footer="0" w:header="0"/>
        </w:sectPr>
      </w:pPr>
    </w:p>
    <w:bookmarkStart w:id="158" w:name="page159"/>
    <w:bookmarkEnd w:id="158"/>
    <w:p>
      <w:pPr>
        <w:jc w:val="both"/>
        <w:ind w:left="-644" w:firstLine="1292"/>
        <w:spacing w:after="0" w:line="260" w:lineRule="auto"/>
        <w:tabs>
          <w:tab w:leader="none" w:pos="1187"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Employment Period, Executive shall be eligible for discretionary bonus compensation for the 2024 fiscal year and each subsequent complete fiscal year that Executive is employed by the Company hereunder (each, a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pursuant to the applicable incentive or bonus compensation plan of the Company, if any, that is applicable to similarly situated executives of the Company (each, an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Each Annual Bonus shall have a target value that is not less than 40% of Executive’s Base Salary as in effect on the first day of the Bonus Year to which such Annual Bonus relates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Target Annual Bonus for the 2024 fiscal year shall have a target value of not less than $103,999.27. The performance targets that must be achieved in order to realize certain bonus levels shall be established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a committee thereof annually, in its sole discretion, and communicated to Executive in accordance with terms of the applicable incentive or bonus plan, if any, or if no such plan has been adopted, within the first 90 days of each applicable Bonus Year following 2024.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w:t>
      </w:r>
    </w:p>
    <w:p>
      <w:pPr>
        <w:spacing w:after="0" w:line="185" w:lineRule="exact"/>
        <w:rPr>
          <w:rFonts w:ascii="Times New Roman" w:cs="Times New Roman" w:eastAsia="Times New Roman" w:hAnsi="Times New Roman"/>
          <w:sz w:val="21"/>
          <w:szCs w:val="21"/>
          <w:color w:val="auto"/>
        </w:rPr>
      </w:pPr>
    </w:p>
    <w:p>
      <w:pPr>
        <w:jc w:val="both"/>
        <w:ind w:left="-644" w:firstLine="1292"/>
        <w:spacing w:after="0" w:line="249" w:lineRule="auto"/>
        <w:tabs>
          <w:tab w:leader="none" w:pos="118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With respect to the 2024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40% of Executive’s Base Salary as in effect on the first day of such fiscal year (the “</w:t>
      </w:r>
      <w:r>
        <w:rPr>
          <w:rFonts w:ascii="Times New Roman" w:cs="Times New Roman" w:eastAsia="Times New Roman" w:hAnsi="Times New Roman"/>
          <w:sz w:val="22"/>
          <w:szCs w:val="22"/>
          <w:u w:val="single" w:color="auto"/>
          <w:color w:val="auto"/>
        </w:rPr>
        <w:t>Target Annual LTIP Award</w:t>
      </w:r>
      <w:r>
        <w:rPr>
          <w:rFonts w:ascii="Times New Roman" w:cs="Times New Roman" w:eastAsia="Times New Roman" w:hAnsi="Times New Roman"/>
          <w:sz w:val="22"/>
          <w:szCs w:val="22"/>
          <w:color w:val="auto"/>
        </w:rPr>
        <w:t>”).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w:t>
      </w:r>
    </w:p>
    <w:p>
      <w:pPr>
        <w:spacing w:after="0" w:line="177"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current term of Executive’s employment under this Agreement is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Effective Date and ending on the first anniversary of the Effective Date (the “</w:t>
      </w:r>
      <w:r>
        <w:rPr>
          <w:rFonts w:ascii="Times New Roman" w:cs="Times New Roman" w:eastAsia="Times New Roman" w:hAnsi="Times New Roman"/>
          <w:sz w:val="22"/>
          <w:szCs w:val="22"/>
          <w:u w:val="single" w:color="auto"/>
          <w:color w:val="auto"/>
        </w:rPr>
        <w:t>Current Term</w:t>
      </w:r>
      <w:r>
        <w:rPr>
          <w:rFonts w:ascii="Times New Roman" w:cs="Times New Roman" w:eastAsia="Times New Roman" w:hAnsi="Times New Roman"/>
          <w:sz w:val="22"/>
          <w:szCs w:val="22"/>
          <w:color w:val="auto"/>
        </w:rPr>
        <w:t>”). On the first anniversary of the Effective Date and on each subsequent anniversary of the Effective Date, the term of Executive’s employment under this Agreement shall automatically renew and extend for a period of 12 months (each such 12-month period being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ectPr>
          <w:pgSz w:w="11900" w:h="16838" w:orient="portrait"/>
          <w:cols w:equalWidth="0" w:num="1">
            <w:col w:w="10476"/>
          </w:cols>
          <w:pgMar w:left="1084" w:top="1327" w:right="339" w:bottom="1440" w:gutter="0" w:footer="0" w:header="0"/>
        </w:sectPr>
      </w:pPr>
    </w:p>
    <w:bookmarkStart w:id="159" w:name="page160"/>
    <w:bookmarkEnd w:id="159"/>
    <w:p>
      <w:pPr>
        <w:ind w:left="-644" w:firstLine="644"/>
        <w:spacing w:after="0" w:line="275" w:lineRule="auto"/>
        <w:tabs>
          <w:tab w:leader="none" w:pos="5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Business Expenses; Benefits</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entitled to the following reimbursements and benefits during the Employment Period:</w:t>
      </w:r>
    </w:p>
    <w:p>
      <w:pPr>
        <w:spacing w:after="0" w:line="15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xml:space="preserve">. The Company agrees to reimburse Executive for Executive’s reasonable business-related expenses incurred in the performance of Executive’s duties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termination of Executive’s employment with the Company, in no event shall any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spacing w:after="0" w:line="197" w:lineRule="exact"/>
        <w:rPr>
          <w:rFonts w:ascii="Times New Roman" w:cs="Times New Roman" w:eastAsia="Times New Roman" w:hAnsi="Times New Roman"/>
          <w:sz w:val="22"/>
          <w:szCs w:val="22"/>
          <w:color w:val="auto"/>
        </w:rPr>
      </w:pPr>
    </w:p>
    <w:p>
      <w:pPr>
        <w:jc w:val="both"/>
        <w:ind w:left="-644" w:firstLine="1292"/>
        <w:spacing w:after="0" w:line="251" w:lineRule="auto"/>
        <w:tabs>
          <w:tab w:leader="none" w:pos="118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pacing w:after="0" w:line="177" w:lineRule="exact"/>
        <w:rPr>
          <w:rFonts w:ascii="Times New Roman" w:cs="Times New Roman" w:eastAsia="Times New Roman" w:hAnsi="Times New Roman"/>
          <w:sz w:val="22"/>
          <w:szCs w:val="22"/>
          <w:color w:val="auto"/>
        </w:rPr>
      </w:pPr>
    </w:p>
    <w:p>
      <w:pPr>
        <w:ind w:left="536" w:hanging="536"/>
        <w:spacing w:after="0"/>
        <w:tabs>
          <w:tab w:leader="none" w:pos="5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44" w:right="20" w:firstLine="1292"/>
        <w:spacing w:after="0" w:line="271" w:lineRule="auto"/>
        <w:tabs>
          <w:tab w:leader="none" w:pos="118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Executive’s Employment for Cause</w:t>
      </w:r>
      <w:r>
        <w:rPr>
          <w:rFonts w:ascii="Times New Roman" w:cs="Times New Roman" w:eastAsia="Times New Roman" w:hAnsi="Times New Roman"/>
          <w:sz w:val="22"/>
          <w:szCs w:val="22"/>
          <w:color w:val="auto"/>
        </w:rPr>
        <w:t>. The Company shall have the right to terminate Executive’s employment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w:t>
      </w:r>
    </w:p>
    <w:p>
      <w:pPr>
        <w:spacing w:after="0" w:line="157" w:lineRule="exact"/>
        <w:rPr>
          <w:rFonts w:ascii="Times New Roman" w:cs="Times New Roman" w:eastAsia="Times New Roman" w:hAnsi="Times New Roman"/>
          <w:sz w:val="22"/>
          <w:szCs w:val="22"/>
          <w:color w:val="auto"/>
        </w:rPr>
      </w:pPr>
    </w:p>
    <w:p>
      <w:pPr>
        <w:ind w:left="-4" w:firstLine="1186"/>
        <w:spacing w:after="0" w:line="271" w:lineRule="auto"/>
        <w:tabs>
          <w:tab w:leader="none" w:pos="183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policy established by the Company or any of its Affiliates including but not limited to policies regarding bribery and harassment and any other policies applicable to Executive;</w:t>
      </w:r>
    </w:p>
    <w:p>
      <w:pPr>
        <w:spacing w:after="0" w:line="171" w:lineRule="exact"/>
        <w:rPr>
          <w:rFonts w:ascii="Times New Roman" w:cs="Times New Roman" w:eastAsia="Times New Roman" w:hAnsi="Times New Roman"/>
          <w:sz w:val="22"/>
          <w:szCs w:val="22"/>
          <w:color w:val="auto"/>
        </w:rPr>
      </w:pPr>
    </w:p>
    <w:p>
      <w:pPr>
        <w:ind w:left="-4" w:firstLine="1126"/>
        <w:spacing w:after="0" w:line="271" w:lineRule="auto"/>
        <w:tabs>
          <w:tab w:leader="none" w:pos="183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acts of disloyalty to the Company or its Affiliates, including fraud, embezzlement, theft, commission of a felony, or proven dishonesty; or</w:t>
      </w:r>
    </w:p>
    <w:p>
      <w:pPr>
        <w:spacing w:after="0" w:line="157" w:lineRule="exact"/>
        <w:rPr>
          <w:rFonts w:ascii="Times New Roman" w:cs="Times New Roman" w:eastAsia="Times New Roman" w:hAnsi="Times New Roman"/>
          <w:sz w:val="22"/>
          <w:szCs w:val="22"/>
          <w:color w:val="auto"/>
        </w:rPr>
      </w:pPr>
    </w:p>
    <w:p>
      <w:pPr>
        <w:ind w:left="-4" w:firstLine="1065"/>
        <w:spacing w:after="0" w:line="271" w:lineRule="auto"/>
        <w:tabs>
          <w:tab w:leader="none" w:pos="183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in the performance of, or willful failure to perform a material function of, Executive’s duties under this Agreement.</w:t>
      </w:r>
    </w:p>
    <w:p>
      <w:pPr>
        <w:spacing w:after="0" w:line="157" w:lineRule="exact"/>
        <w:rPr>
          <w:rFonts w:ascii="Times New Roman" w:cs="Times New Roman" w:eastAsia="Times New Roman" w:hAnsi="Times New Roman"/>
          <w:sz w:val="22"/>
          <w:szCs w:val="22"/>
          <w:color w:val="auto"/>
        </w:rPr>
      </w:pPr>
    </w:p>
    <w:p>
      <w:pPr>
        <w:ind w:left="-644" w:firstLine="1292"/>
        <w:spacing w:after="0" w:line="284" w:lineRule="auto"/>
        <w:tabs>
          <w:tab w:leader="none" w:pos="118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for Convenience</w:t>
      </w:r>
      <w:r>
        <w:rPr>
          <w:rFonts w:ascii="Times New Roman" w:cs="Times New Roman" w:eastAsia="Times New Roman" w:hAnsi="Times New Roman"/>
          <w:sz w:val="22"/>
          <w:szCs w:val="22"/>
          <w:color w:val="auto"/>
        </w:rPr>
        <w:t>. The Company shall have the right to terminate Executive’s employment without Cause, with or without notice, at any time and for any reason or no reason at all.</w:t>
      </w:r>
    </w:p>
    <w:p>
      <w:pPr>
        <w:sectPr>
          <w:pgSz w:w="11900" w:h="16838" w:orient="portrait"/>
          <w:cols w:equalWidth="0" w:num="1">
            <w:col w:w="10476"/>
          </w:cols>
          <w:pgMar w:left="1084" w:top="1323" w:right="339" w:bottom="1440" w:gutter="0" w:footer="0" w:header="0"/>
        </w:sectPr>
      </w:pPr>
    </w:p>
    <w:bookmarkStart w:id="160" w:name="page161"/>
    <w:bookmarkEnd w:id="160"/>
    <w:p>
      <w:pPr>
        <w:ind w:firstLine="1292"/>
        <w:spacing w:after="0" w:line="271" w:lineRule="auto"/>
        <w:tabs>
          <w:tab w:leader="none" w:pos="183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Right to Terminate for Good Reason</w:t>
      </w:r>
      <w:r>
        <w:rPr>
          <w:rFonts w:ascii="Times New Roman" w:cs="Times New Roman" w:eastAsia="Times New Roman" w:hAnsi="Times New Roman"/>
          <w:sz w:val="22"/>
          <w:szCs w:val="22"/>
          <w:color w:val="auto"/>
        </w:rPr>
        <w:t>. Executive shall have the right to terminate Executive’s employment with the Company at any time for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57" w:lineRule="exact"/>
        <w:rPr>
          <w:rFonts w:ascii="Times New Roman" w:cs="Times New Roman" w:eastAsia="Times New Roman" w:hAnsi="Times New Roman"/>
          <w:sz w:val="22"/>
          <w:szCs w:val="22"/>
          <w:color w:val="auto"/>
        </w:rPr>
      </w:pPr>
    </w:p>
    <w:p>
      <w:pPr>
        <w:ind w:left="2480" w:hanging="654"/>
        <w:spacing w:after="0"/>
        <w:tabs>
          <w:tab w:leader="none" w:pos="248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title, or responsibilities;</w:t>
      </w:r>
    </w:p>
    <w:p>
      <w:pPr>
        <w:spacing w:after="0" w:line="233" w:lineRule="exact"/>
        <w:rPr>
          <w:rFonts w:ascii="Times New Roman" w:cs="Times New Roman" w:eastAsia="Times New Roman" w:hAnsi="Times New Roman"/>
          <w:sz w:val="22"/>
          <w:szCs w:val="22"/>
          <w:color w:val="auto"/>
        </w:rPr>
      </w:pPr>
    </w:p>
    <w:p>
      <w:pPr>
        <w:ind w:left="2480" w:hanging="714"/>
        <w:spacing w:after="0"/>
        <w:tabs>
          <w:tab w:leader="none" w:pos="248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Target Annual Bonus, or Target Annual LTIP</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195" w:lineRule="exact"/>
        <w:rPr>
          <w:rFonts w:ascii="Times New Roman" w:cs="Times New Roman" w:eastAsia="Times New Roman" w:hAnsi="Times New Roman"/>
          <w:sz w:val="22"/>
          <w:szCs w:val="22"/>
          <w:color w:val="auto"/>
        </w:rPr>
      </w:pPr>
    </w:p>
    <w:p>
      <w:pPr>
        <w:ind w:left="640" w:firstLine="1066"/>
        <w:spacing w:after="0" w:line="271" w:lineRule="auto"/>
        <w:tabs>
          <w:tab w:leader="none" w:pos="2476"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geographic location of Executive’s principal place of employment by more than 100 miles from the location of Executive’s principal place of employment as of the Effective Date; or</w:t>
      </w:r>
    </w:p>
    <w:p>
      <w:pPr>
        <w:spacing w:after="0" w:line="157" w:lineRule="exact"/>
        <w:rPr>
          <w:rFonts w:ascii="Times New Roman" w:cs="Times New Roman" w:eastAsia="Times New Roman" w:hAnsi="Times New Roman"/>
          <w:sz w:val="22"/>
          <w:szCs w:val="22"/>
          <w:color w:val="auto"/>
        </w:rPr>
      </w:pPr>
    </w:p>
    <w:p>
      <w:pPr>
        <w:ind w:left="2460" w:hanging="742"/>
        <w:spacing w:after="0"/>
        <w:tabs>
          <w:tab w:leader="none" w:pos="24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of a written notice of non-renewal of this Agreement to Executive.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spacing w:after="0" w:line="179" w:lineRule="exact"/>
        <w:rPr>
          <w:sz w:val="20"/>
          <w:szCs w:val="20"/>
          <w:color w:val="auto"/>
        </w:rPr>
      </w:pPr>
    </w:p>
    <w:p>
      <w:pPr>
        <w:jc w:val="both"/>
        <w:ind w:firstLine="1292"/>
        <w:spacing w:after="0" w:line="248" w:lineRule="auto"/>
        <w:tabs>
          <w:tab w:leader="none" w:pos="183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with the Company shall terminate upon the death or Disability of Executive.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w:t>
      </w:r>
    </w:p>
    <w:p>
      <w:pPr>
        <w:spacing w:after="0" w:line="185" w:lineRule="exact"/>
        <w:rPr>
          <w:rFonts w:ascii="Times New Roman" w:cs="Times New Roman" w:eastAsia="Times New Roman" w:hAnsi="Times New Roman"/>
          <w:sz w:val="22"/>
          <w:szCs w:val="22"/>
          <w:color w:val="auto"/>
        </w:rPr>
      </w:pPr>
    </w:p>
    <w:p>
      <w:pPr>
        <w:jc w:val="both"/>
        <w:ind w:firstLine="1292"/>
        <w:spacing w:after="0" w:line="268" w:lineRule="auto"/>
        <w:tabs>
          <w:tab w:leader="none" w:pos="183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Right to Terminate for Convenience</w:t>
      </w:r>
      <w:r>
        <w:rPr>
          <w:rFonts w:ascii="Times New Roman" w:cs="Times New Roman" w:eastAsia="Times New Roman" w:hAnsi="Times New Roman"/>
          <w:sz w:val="21"/>
          <w:szCs w:val="21"/>
          <w:color w:val="auto"/>
        </w:rPr>
        <w:t xml:space="preserve">. Executive shall have the right to terminate Executive’s employment with the Company for convenience at any time upon 60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sectPr>
          <w:pgSz w:w="11900" w:h="16838" w:orient="portrait"/>
          <w:cols w:equalWidth="0" w:num="1">
            <w:col w:w="11120"/>
          </w:cols>
          <w:pgMar w:left="440" w:top="1327" w:right="339" w:bottom="1440" w:gutter="0" w:footer="0" w:header="0"/>
        </w:sectPr>
      </w:pPr>
    </w:p>
    <w:bookmarkStart w:id="161" w:name="page162"/>
    <w:bookmarkEnd w:id="161"/>
    <w:p>
      <w:pPr>
        <w:spacing w:after="0" w:line="131" w:lineRule="exact"/>
        <w:rPr>
          <w:sz w:val="20"/>
          <w:szCs w:val="20"/>
          <w:color w:val="auto"/>
        </w:rPr>
      </w:pPr>
    </w:p>
    <w:p>
      <w:pPr>
        <w:ind w:left="840" w:hanging="548"/>
        <w:spacing w:after="0"/>
        <w:tabs>
          <w:tab w:leader="none" w:pos="8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60" w:firstLine="1185"/>
        <w:spacing w:after="0" w:line="249" w:lineRule="auto"/>
        <w:tabs>
          <w:tab w:leader="none" w:pos="147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spacing w:after="0" w:line="183" w:lineRule="exact"/>
        <w:rPr>
          <w:rFonts w:ascii="Times New Roman" w:cs="Times New Roman" w:eastAsia="Times New Roman" w:hAnsi="Times New Roman"/>
          <w:sz w:val="22"/>
          <w:szCs w:val="22"/>
          <w:color w:val="auto"/>
        </w:rPr>
      </w:pPr>
    </w:p>
    <w:p>
      <w:pPr>
        <w:jc w:val="both"/>
        <w:ind w:left="-360" w:firstLine="1126"/>
        <w:spacing w:after="0" w:line="249" w:lineRule="auto"/>
        <w:tabs>
          <w:tab w:leader="none" w:pos="147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abides by the terms of Sections 7, 8, 9, 10, and 12:</w:t>
      </w:r>
    </w:p>
    <w:p>
      <w:pPr>
        <w:spacing w:after="0" w:line="195"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2130"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 amount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equal to the product of (x) 1.0 (and, if such termination occurs within three months preceeding or 12 months following a Change in Control (as defined below), 1.0) and (y) the sum of Executive’s Base Salary as in effect on the date of the termination of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Executive’s prorated Annual Bonus as of the Termination Date (or, if such termination occurs within three months preceeding or 12 months following a Change in Control, the target bonus). The Severance Payment will be paid in a lump sum, subject to all applicable taxes on or before the Company’s first regularly scheduled pay date that is on or after the date that is 60 days after the Termination Date.</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53" w:lineRule="auto"/>
        <w:tabs>
          <w:tab w:leader="none" w:pos="2132"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sectPr>
          <w:pgSz w:w="11900" w:h="16838" w:orient="portrait"/>
          <w:cols w:equalWidth="0" w:num="1">
            <w:col w:w="10120"/>
          </w:cols>
          <w:pgMar w:left="1440" w:top="1440" w:right="339" w:bottom="1440" w:gutter="0" w:footer="0" w:header="0"/>
        </w:sectPr>
      </w:pPr>
    </w:p>
    <w:bookmarkStart w:id="162" w:name="page163"/>
    <w:bookmarkEnd w:id="162"/>
    <w:p>
      <w:pPr>
        <w:jc w:val="both"/>
        <w:ind w:left="660" w:firstLine="1288"/>
        <w:spacing w:after="0" w:line="247" w:lineRule="auto"/>
        <w:tabs>
          <w:tab w:leader="none" w:pos="249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used herein,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xml:space="preserve">”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COBRA Continuation Period shall immediately terminate upon the earlier of (1) the time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spacing w:after="0" w:line="172" w:lineRule="exact"/>
        <w:rPr>
          <w:sz w:val="20"/>
          <w:szCs w:val="20"/>
          <w:color w:val="auto"/>
        </w:rPr>
      </w:pPr>
    </w:p>
    <w:p>
      <w:pPr>
        <w:jc w:val="both"/>
        <w:ind w:firstLine="1066"/>
        <w:spacing w:after="0" w:line="265" w:lineRule="auto"/>
        <w:tabs>
          <w:tab w:leader="none" w:pos="183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21 days following the date upon which the Company delivers the Release to Executive (which shall occur no later than seven days after the Termination Date) or, in the event that such termination of employment is “in connection with an exit incentive or other</w:t>
      </w:r>
    </w:p>
    <w:p>
      <w:pPr>
        <w:sectPr>
          <w:pgSz w:w="11900" w:h="16838" w:orient="portrait"/>
          <w:cols w:equalWidth="0" w:num="1">
            <w:col w:w="10480"/>
          </w:cols>
          <w:pgMar w:left="1080" w:top="1327" w:right="339" w:bottom="1440" w:gutter="0" w:footer="0" w:header="0"/>
        </w:sectPr>
      </w:pPr>
    </w:p>
    <w:bookmarkStart w:id="163" w:name="page164"/>
    <w:bookmarkEnd w:id="163"/>
    <w:p>
      <w:pPr>
        <w:spacing w:after="0" w:line="271" w:lineRule="auto"/>
        <w:rPr>
          <w:sz w:val="20"/>
          <w:szCs w:val="20"/>
          <w:color w:val="auto"/>
        </w:rPr>
      </w:pPr>
      <w:r>
        <w:rPr>
          <w:rFonts w:ascii="Times New Roman" w:cs="Times New Roman" w:eastAsia="Times New Roman" w:hAnsi="Times New Roman"/>
          <w:sz w:val="22"/>
          <w:szCs w:val="22"/>
          <w:color w:val="auto"/>
        </w:rPr>
        <w:t>employment termination program” (as such phrase is defined in the Age Discrimination in Employment Act of 1967, as amended), the date that is 45 days following such delivery date.</w:t>
      </w:r>
    </w:p>
    <w:p>
      <w:pPr>
        <w:spacing w:after="0" w:line="158" w:lineRule="exact"/>
        <w:rPr>
          <w:sz w:val="20"/>
          <w:szCs w:val="20"/>
          <w:color w:val="auto"/>
        </w:rPr>
      </w:pPr>
    </w:p>
    <w:p>
      <w:pPr>
        <w:ind w:firstLine="1078"/>
        <w:spacing w:after="0" w:line="284" w:lineRule="auto"/>
        <w:tabs>
          <w:tab w:leader="none" w:pos="1822"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one or more of the following transactions following the Effective Date:</w:t>
      </w:r>
    </w:p>
    <w:p>
      <w:pPr>
        <w:spacing w:after="0" w:line="143" w:lineRule="exact"/>
        <w:rPr>
          <w:rFonts w:ascii="Times New Roman" w:cs="Times New Roman" w:eastAsia="Times New Roman" w:hAnsi="Times New Roman"/>
          <w:sz w:val="22"/>
          <w:szCs w:val="22"/>
          <w:color w:val="auto"/>
        </w:rPr>
      </w:pPr>
    </w:p>
    <w:p>
      <w:pPr>
        <w:ind w:left="660" w:firstLine="1288"/>
        <w:spacing w:after="0" w:line="271" w:lineRule="auto"/>
        <w:tabs>
          <w:tab w:leader="none" w:pos="2490"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disposal by the Company of all or substantially all of its assets to any person other than an Affiliate of the Company;</w:t>
      </w:r>
    </w:p>
    <w:p>
      <w:pPr>
        <w:spacing w:after="0" w:line="157" w:lineRule="exact"/>
        <w:rPr>
          <w:rFonts w:ascii="Times New Roman" w:cs="Times New Roman" w:eastAsia="Times New Roman" w:hAnsi="Times New Roman"/>
          <w:sz w:val="22"/>
          <w:szCs w:val="22"/>
          <w:color w:val="auto"/>
        </w:rPr>
      </w:pPr>
    </w:p>
    <w:p>
      <w:pPr>
        <w:jc w:val="both"/>
        <w:ind w:left="660" w:right="20" w:firstLine="1288"/>
        <w:spacing w:after="0" w:line="257" w:lineRule="auto"/>
        <w:tabs>
          <w:tab w:leader="none" w:pos="2492"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spacing w:after="0" w:line="186" w:lineRule="exact"/>
        <w:rPr>
          <w:rFonts w:ascii="Times New Roman" w:cs="Times New Roman" w:eastAsia="Times New Roman" w:hAnsi="Times New Roman"/>
          <w:sz w:val="22"/>
          <w:szCs w:val="22"/>
          <w:color w:val="auto"/>
        </w:rPr>
      </w:pPr>
    </w:p>
    <w:p>
      <w:pPr>
        <w:jc w:val="both"/>
        <w:ind w:left="660" w:firstLine="1288"/>
        <w:spacing w:after="0" w:line="252" w:lineRule="auto"/>
        <w:tabs>
          <w:tab w:leader="none" w:pos="2492"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group (as defined in Section 13d(d)(3)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of the beneficial ownership (as defined in Section 13d(d)(3) of the Exchange Act) of more than 50% of the equity of the Company entitled to vote in the election of the Company’s directors (or the persons performing the functions of directors).</w:t>
      </w:r>
    </w:p>
    <w:p>
      <w:pPr>
        <w:spacing w:after="0" w:line="179"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Meaning of Termination of Employment</w:t>
      </w:r>
      <w:r>
        <w:rPr>
          <w:rFonts w:ascii="Times New Roman" w:cs="Times New Roman" w:eastAsia="Times New Roman" w:hAnsi="Times New Roman"/>
          <w:sz w:val="22"/>
          <w:szCs w:val="22"/>
          <w:color w:val="auto"/>
        </w:rPr>
        <w:t>. For all purposes of this Agreement, Executive shall be considered to have terminated employment with the Company when Executive incurs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with the Company within the meaning of Section 409A(a)(2)(A)(i)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spacing w:after="0" w:line="190" w:lineRule="exact"/>
        <w:rPr>
          <w:rFonts w:ascii="Times New Roman" w:cs="Times New Roman" w:eastAsia="Times New Roman" w:hAnsi="Times New Roman"/>
          <w:sz w:val="22"/>
          <w:szCs w:val="22"/>
          <w:color w:val="auto"/>
        </w:rPr>
      </w:pPr>
    </w:p>
    <w:p>
      <w:pPr>
        <w:ind w:left="-640" w:firstLine="644"/>
        <w:spacing w:after="0" w:line="275" w:lineRule="auto"/>
        <w:tabs>
          <w:tab w:leader="none" w:pos="54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 Disclosure of Opportunities</w:t>
      </w:r>
      <w:r>
        <w:rPr>
          <w:rFonts w:ascii="Times New Roman" w:cs="Times New Roman" w:eastAsia="Times New Roman" w:hAnsi="Times New Roman"/>
          <w:sz w:val="22"/>
          <w:szCs w:val="22"/>
          <w:color w:val="auto"/>
        </w:rPr>
        <w:t>. Executive agrees that Executive shall promptly disclose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any conflict of interest involving Executive upon Executive becoming aware of such conflict.</w:t>
      </w:r>
    </w:p>
    <w:p>
      <w:pPr>
        <w:spacing w:after="0" w:line="149" w:lineRule="exact"/>
        <w:rPr>
          <w:rFonts w:ascii="Times New Roman" w:cs="Times New Roman" w:eastAsia="Times New Roman" w:hAnsi="Times New Roman"/>
          <w:sz w:val="22"/>
          <w:szCs w:val="22"/>
          <w:color w:val="auto"/>
        </w:rPr>
      </w:pPr>
    </w:p>
    <w:p>
      <w:pPr>
        <w:jc w:val="both"/>
        <w:ind w:left="-640" w:firstLine="644"/>
        <w:spacing w:after="0" w:line="254" w:lineRule="auto"/>
        <w:tabs>
          <w:tab w:leader="none" w:pos="54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in the course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spacing w:after="0" w:line="177"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3"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w:t>
      </w:r>
    </w:p>
    <w:p>
      <w:pPr>
        <w:sectPr>
          <w:pgSz w:w="11900" w:h="16838" w:orient="portrait"/>
          <w:cols w:equalWidth="0" w:num="1">
            <w:col w:w="10480"/>
          </w:cols>
          <w:pgMar w:left="1080" w:top="132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Information, whether now known or later to become known to Executive during the Employment Period.</w:t>
      </w:r>
    </w:p>
    <w:p>
      <w:pPr>
        <w:spacing w:after="0" w:line="220" w:lineRule="exact"/>
        <w:rPr>
          <w:sz w:val="20"/>
          <w:szCs w:val="20"/>
          <w:color w:val="auto"/>
        </w:rPr>
      </w:pPr>
    </w:p>
    <w:p>
      <w:pPr>
        <w:ind w:left="1820" w:hanging="528"/>
        <w:spacing w:after="0"/>
        <w:tabs>
          <w:tab w:leader="none" w:pos="18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8(a), Executive may make the following disclosures and uses of 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209" w:lineRule="exact"/>
        <w:rPr>
          <w:sz w:val="20"/>
          <w:szCs w:val="20"/>
          <w:color w:val="auto"/>
        </w:rPr>
      </w:pPr>
    </w:p>
    <w:p>
      <w:pPr>
        <w:ind w:left="640" w:firstLine="1186"/>
        <w:spacing w:after="0" w:line="271" w:lineRule="auto"/>
        <w:tabs>
          <w:tab w:leader="none" w:pos="2476"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executives or employees of the Company or its Affiliates who have a need to know the information in connection with the business of the Company or its Affiliates;</w:t>
      </w:r>
    </w:p>
    <w:p>
      <w:pPr>
        <w:spacing w:after="0" w:line="157" w:lineRule="exact"/>
        <w:rPr>
          <w:rFonts w:ascii="Times New Roman" w:cs="Times New Roman" w:eastAsia="Times New Roman" w:hAnsi="Times New Roman"/>
          <w:sz w:val="22"/>
          <w:szCs w:val="22"/>
          <w:color w:val="auto"/>
        </w:rPr>
      </w:pPr>
    </w:p>
    <w:p>
      <w:pPr>
        <w:ind w:left="640" w:right="20" w:firstLine="1126"/>
        <w:spacing w:after="0" w:line="271" w:lineRule="auto"/>
        <w:tabs>
          <w:tab w:leader="none" w:pos="2476"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incidental to Executive’s provision of services to the Company and its Affiliates consistent with the terms of this Agreement or that are approved by the Board;</w:t>
      </w:r>
    </w:p>
    <w:p>
      <w:pPr>
        <w:spacing w:after="0" w:line="157"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for the purpose of complying with any applicable laws or regulatory requirements; or</w:t>
      </w:r>
    </w:p>
    <w:p>
      <w:pPr>
        <w:spacing w:after="0" w:line="219" w:lineRule="exact"/>
        <w:rPr>
          <w:rFonts w:ascii="Times New Roman" w:cs="Times New Roman" w:eastAsia="Times New Roman" w:hAnsi="Times New Roman"/>
          <w:sz w:val="22"/>
          <w:szCs w:val="22"/>
          <w:color w:val="auto"/>
        </w:rPr>
      </w:pPr>
    </w:p>
    <w:p>
      <w:pPr>
        <w:jc w:val="both"/>
        <w:ind w:left="640" w:firstLine="1078"/>
        <w:spacing w:after="0" w:line="263" w:lineRule="auto"/>
        <w:tabs>
          <w:tab w:leader="none" w:pos="246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that Executive is legally compelled to make by deposition, interrogatory, request for documents, subpoena, civil investigative demand, order of a court of competent jurisdiction, or similar process, or otherwise by law.</w:t>
      </w:r>
    </w:p>
    <w:p>
      <w:pPr>
        <w:spacing w:after="0" w:line="167"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spacing w:after="0" w:line="178"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sectPr>
          <w:pgSz w:w="11900" w:h="16838" w:orient="portrait"/>
          <w:cols w:equalWidth="0" w:num="1">
            <w:col w:w="11120"/>
          </w:cols>
          <w:pgMar w:left="440" w:top="1327" w:right="339" w:bottom="1440" w:gutter="0" w:footer="0" w:header="0"/>
        </w:sectPr>
      </w:pPr>
    </w:p>
    <w:bookmarkStart w:id="165" w:name="page166"/>
    <w:bookmarkEnd w:id="165"/>
    <w:p>
      <w:pPr>
        <w:jc w:val="both"/>
        <w:ind w:left="-644" w:firstLine="1292"/>
        <w:spacing w:after="0" w:line="260" w:lineRule="auto"/>
        <w:tabs>
          <w:tab w:leader="none" w:pos="1189"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21"/>
          <w:szCs w:val="21"/>
          <w:u w:val="single" w:color="auto"/>
          <w:color w:val="auto"/>
        </w:rPr>
        <w:t>Governmental Authorities</w:t>
      </w:r>
      <w:r>
        <w:rPr>
          <w:rFonts w:ascii="Times New Roman" w:cs="Times New Roman" w:eastAsia="Times New Roman" w:hAnsi="Times New Roman"/>
          <w:sz w:val="21"/>
          <w:szCs w:val="21"/>
          <w:color w:val="auto"/>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pacing w:after="0" w:line="181" w:lineRule="exact"/>
        <w:rPr>
          <w:rFonts w:ascii="Times New Roman" w:cs="Times New Roman" w:eastAsia="Times New Roman" w:hAnsi="Times New Roman"/>
          <w:sz w:val="21"/>
          <w:szCs w:val="21"/>
          <w:color w:val="auto"/>
        </w:rPr>
      </w:pPr>
    </w:p>
    <w:p>
      <w:pPr>
        <w:ind w:left="536" w:hanging="536"/>
        <w:spacing w:after="0"/>
        <w:tabs>
          <w:tab w:leader="none" w:pos="53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spacing w:after="0" w:line="185"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7"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the period set forth in Section 9(c) below, Executive shall not, without the prior written approval of the Company, directly or indirectly, for Executive or on behalf of or in conjunction with any other person or entity of whatever nature:</w:t>
      </w:r>
    </w:p>
    <w:p>
      <w:pPr>
        <w:spacing w:after="0" w:line="167" w:lineRule="exact"/>
        <w:rPr>
          <w:rFonts w:ascii="Times New Roman" w:cs="Times New Roman" w:eastAsia="Times New Roman" w:hAnsi="Times New Roman"/>
          <w:sz w:val="22"/>
          <w:szCs w:val="22"/>
          <w:color w:val="auto"/>
        </w:rPr>
      </w:pPr>
    </w:p>
    <w:p>
      <w:pPr>
        <w:jc w:val="both"/>
        <w:ind w:left="-4" w:firstLine="1186"/>
        <w:spacing w:after="0" w:line="250" w:lineRule="auto"/>
        <w:tabs>
          <w:tab w:leader="none" w:pos="1832"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Protected Affiliates</w:t>
      </w:r>
      <w:r>
        <w:rPr>
          <w:rFonts w:ascii="Times New Roman" w:cs="Times New Roman" w:eastAsia="Times New Roman" w:hAnsi="Times New Roman"/>
          <w:sz w:val="22"/>
          <w:szCs w:val="22"/>
          <w:color w:val="auto"/>
        </w:rPr>
        <w:t>” means any Affiliate of the Company for which Executive provided services during the period of Executive’s employment with the Company, or about which Executive obtained Confidential Information during the period of Executive’s employment with the Company.</w:t>
      </w:r>
    </w:p>
    <w:p>
      <w:pPr>
        <w:sectPr>
          <w:pgSz w:w="11900" w:h="16838" w:orient="portrait"/>
          <w:cols w:equalWidth="0" w:num="1">
            <w:col w:w="10476"/>
          </w:cols>
          <w:pgMar w:left="1084" w:top="1327" w:right="339" w:bottom="1440" w:gutter="0" w:footer="0" w:header="0"/>
        </w:sectPr>
      </w:pPr>
    </w:p>
    <w:bookmarkStart w:id="166" w:name="page167"/>
    <w:bookmarkEnd w:id="166"/>
    <w:p>
      <w:pPr>
        <w:jc w:val="both"/>
        <w:ind w:left="640" w:firstLine="1126"/>
        <w:spacing w:after="0" w:line="256" w:lineRule="auto"/>
        <w:tabs>
          <w:tab w:leader="none" w:pos="2476"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spacing w:after="0" w:line="176"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employee of the Company or its Affiliates to terminate his or her employment therewith.</w:t>
      </w:r>
    </w:p>
    <w:p>
      <w:pPr>
        <w:spacing w:after="0" w:line="231" w:lineRule="exact"/>
        <w:rPr>
          <w:rFonts w:ascii="Times New Roman" w:cs="Times New Roman" w:eastAsia="Times New Roman" w:hAnsi="Times New Roman"/>
          <w:sz w:val="21"/>
          <w:szCs w:val="21"/>
          <w:color w:val="auto"/>
        </w:rPr>
      </w:pPr>
    </w:p>
    <w:p>
      <w:pPr>
        <w:jc w:val="both"/>
        <w:ind w:firstLine="1292"/>
        <w:spacing w:after="0" w:line="257" w:lineRule="auto"/>
        <w:tabs>
          <w:tab w:leader="none" w:pos="183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Timeframe of Non-Competition and Non-Solicitation Agreement</w:t>
      </w:r>
      <w:r>
        <w:rPr>
          <w:rFonts w:ascii="Times New Roman" w:cs="Times New Roman" w:eastAsia="Times New Roman" w:hAnsi="Times New Roman"/>
          <w:sz w:val="22"/>
          <w:szCs w:val="22"/>
          <w:color w:val="auto"/>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spacing w:after="0" w:line="172" w:lineRule="exact"/>
        <w:rPr>
          <w:rFonts w:ascii="Times New Roman" w:cs="Times New Roman" w:eastAsia="Times New Roman" w:hAnsi="Times New Roman"/>
          <w:sz w:val="22"/>
          <w:szCs w:val="22"/>
          <w:color w:val="auto"/>
        </w:rPr>
      </w:pPr>
    </w:p>
    <w:p>
      <w:pPr>
        <w:jc w:val="both"/>
        <w:ind w:firstLine="1292"/>
        <w:spacing w:after="0" w:line="265" w:lineRule="auto"/>
        <w:tabs>
          <w:tab w:leader="none" w:pos="183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spacing w:after="0" w:line="182" w:lineRule="exact"/>
        <w:rPr>
          <w:rFonts w:ascii="Times New Roman" w:cs="Times New Roman" w:eastAsia="Times New Roman" w:hAnsi="Times New Roman"/>
          <w:sz w:val="21"/>
          <w:szCs w:val="21"/>
          <w:color w:val="auto"/>
        </w:rPr>
      </w:pPr>
    </w:p>
    <w:p>
      <w:pPr>
        <w:jc w:val="both"/>
        <w:ind w:firstLine="1292"/>
        <w:spacing w:after="0" w:line="250" w:lineRule="auto"/>
        <w:tabs>
          <w:tab w:leader="none" w:pos="183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spacing w:after="0" w:line="194" w:lineRule="exact"/>
        <w:rPr>
          <w:rFonts w:ascii="Times New Roman" w:cs="Times New Roman" w:eastAsia="Times New Roman" w:hAnsi="Times New Roman"/>
          <w:sz w:val="22"/>
          <w:szCs w:val="22"/>
          <w:color w:val="auto"/>
        </w:rPr>
      </w:pPr>
    </w:p>
    <w:p>
      <w:pPr>
        <w:ind w:left="1840" w:hanging="548"/>
        <w:spacing w:after="0"/>
        <w:tabs>
          <w:tab w:leader="none" w:pos="18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96" w:lineRule="exact"/>
        <w:rPr>
          <w:sz w:val="20"/>
          <w:szCs w:val="20"/>
          <w:color w:val="auto"/>
        </w:rPr>
      </w:pPr>
    </w:p>
    <w:p>
      <w:pPr>
        <w:ind w:left="640" w:right="2800" w:firstLine="1186"/>
        <w:spacing w:after="0" w:line="271" w:lineRule="auto"/>
        <w:tabs>
          <w:tab w:leader="none" w:pos="2476"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57" w:lineRule="exact"/>
        <w:rPr>
          <w:rFonts w:ascii="Times New Roman" w:cs="Times New Roman" w:eastAsia="Times New Roman" w:hAnsi="Times New Roman"/>
          <w:sz w:val="22"/>
          <w:szCs w:val="22"/>
          <w:color w:val="auto"/>
        </w:rPr>
      </w:pPr>
    </w:p>
    <w:p>
      <w:pPr>
        <w:jc w:val="both"/>
        <w:ind w:left="640" w:firstLine="1126"/>
        <w:spacing w:after="0" w:line="263" w:lineRule="auto"/>
        <w:tabs>
          <w:tab w:leader="none" w:pos="2476"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Area</w:t>
      </w:r>
      <w:r>
        <w:rPr>
          <w:rFonts w:ascii="Times New Roman" w:cs="Times New Roman" w:eastAsia="Times New Roman" w:hAnsi="Times New Roman"/>
          <w:sz w:val="22"/>
          <w:szCs w:val="22"/>
          <w:color w:val="auto"/>
        </w:rPr>
        <w:t>” shall mean any location or geographic area within 75 miles of a location where the Company or its Affiliates conducts Business, or has plans to conduct Business of which Executive is aware, during the period of Executive’s employment with the Company.</w:t>
      </w:r>
    </w:p>
    <w:p>
      <w:pPr>
        <w:spacing w:after="0" w:line="167" w:lineRule="exact"/>
        <w:rPr>
          <w:rFonts w:ascii="Times New Roman" w:cs="Times New Roman" w:eastAsia="Times New Roman" w:hAnsi="Times New Roman"/>
          <w:sz w:val="22"/>
          <w:szCs w:val="22"/>
          <w:color w:val="auto"/>
        </w:rPr>
      </w:pPr>
    </w:p>
    <w:p>
      <w:pPr>
        <w:jc w:val="both"/>
        <w:ind w:firstLine="1292"/>
        <w:spacing w:after="0" w:line="275" w:lineRule="auto"/>
        <w:tabs>
          <w:tab w:leader="none" w:pos="1831"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spacing w:after="0" w:line="151" w:lineRule="exact"/>
        <w:rPr>
          <w:rFonts w:ascii="Times New Roman" w:cs="Times New Roman" w:eastAsia="Times New Roman" w:hAnsi="Times New Roman"/>
          <w:sz w:val="21"/>
          <w:szCs w:val="21"/>
          <w:color w:val="auto"/>
        </w:rPr>
      </w:pPr>
    </w:p>
    <w:p>
      <w:pPr>
        <w:ind w:firstLine="644"/>
        <w:spacing w:after="0" w:line="287" w:lineRule="auto"/>
        <w:tabs>
          <w:tab w:leader="none" w:pos="118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 Executive agrees that the Company or its applicable Affiliate shall own,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assigns, all right, title, and interest (including</w:t>
      </w:r>
    </w:p>
    <w:p>
      <w:pPr>
        <w:sectPr>
          <w:pgSz w:w="11900" w:h="16838" w:orient="portrait"/>
          <w:cols w:equalWidth="0" w:num="1">
            <w:col w:w="11120"/>
          </w:cols>
          <w:pgMar w:left="440" w:top="1327" w:right="339" w:bottom="1440" w:gutter="0" w:footer="0" w:header="0"/>
        </w:sectPr>
      </w:pPr>
    </w:p>
    <w:bookmarkStart w:id="167" w:name="page168"/>
    <w:bookmarkEnd w:id="167"/>
    <w:p>
      <w:pPr>
        <w:jc w:val="both"/>
        <w:spacing w:after="0" w:line="247" w:lineRule="auto"/>
        <w:rPr>
          <w:sz w:val="20"/>
          <w:szCs w:val="20"/>
          <w:color w:val="auto"/>
        </w:rPr>
      </w:pPr>
      <w:r>
        <w:rPr>
          <w:rFonts w:ascii="Times New Roman" w:cs="Times New Roman" w:eastAsia="Times New Roman" w:hAnsi="Times New Roman"/>
          <w:sz w:val="22"/>
          <w:szCs w:val="22"/>
          <w:color w:val="auto"/>
        </w:rPr>
        <w:t>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183" w:lineRule="exact"/>
        <w:rPr>
          <w:sz w:val="20"/>
          <w:szCs w:val="20"/>
          <w:color w:val="auto"/>
        </w:rPr>
      </w:pPr>
    </w:p>
    <w:p>
      <w:pPr>
        <w:ind w:left="1180" w:hanging="536"/>
        <w:spacing w:after="0"/>
        <w:tabs>
          <w:tab w:leader="none" w:pos="11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0" w:lineRule="auto"/>
        <w:tabs>
          <w:tab w:leader="none" w:pos="1833"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 arbitration award shall be final and binding on both parties.</w:t>
      </w:r>
    </w:p>
    <w:p>
      <w:pPr>
        <w:spacing w:after="0" w:line="180"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under this Section 11 shall be heard by a single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parties agree that the Arbitrator and any court enforcing the award of the Arbitrator shall not have the right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award punitive or exemplary damages to any disputing party.</w:t>
      </w:r>
    </w:p>
    <w:p>
      <w:pPr>
        <w:sectPr>
          <w:pgSz w:w="11900" w:h="16838" w:orient="portrait"/>
          <w:cols w:equalWidth="0" w:num="1">
            <w:col w:w="11120"/>
          </w:cols>
          <w:pgMar w:left="440" w:top="1327" w:right="339" w:bottom="1440" w:gutter="0" w:footer="0" w:header="0"/>
        </w:sectPr>
      </w:pPr>
    </w:p>
    <w:bookmarkStart w:id="168" w:name="page169"/>
    <w:bookmarkEnd w:id="168"/>
    <w:p>
      <w:pPr>
        <w:jc w:val="both"/>
        <w:ind w:left="-644" w:firstLine="1292"/>
        <w:spacing w:after="0" w:line="257" w:lineRule="auto"/>
        <w:tabs>
          <w:tab w:leader="none" w:pos="118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spacing w:after="0" w:line="186" w:lineRule="exact"/>
        <w:rPr>
          <w:rFonts w:ascii="Times New Roman" w:cs="Times New Roman" w:eastAsia="Times New Roman" w:hAnsi="Times New Roman"/>
          <w:sz w:val="22"/>
          <w:szCs w:val="22"/>
          <w:color w:val="auto"/>
        </w:rPr>
      </w:pPr>
    </w:p>
    <w:p>
      <w:pPr>
        <w:jc w:val="both"/>
        <w:ind w:left="-644" w:firstLine="1292"/>
        <w:spacing w:after="0" w:line="252" w:lineRule="auto"/>
        <w:tabs>
          <w:tab w:leader="none" w:pos="1187"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remainder of any such dispute (beyond the application for emergency or temporary injunctive relief) shall be subject to arbitration under this Section.</w:t>
      </w:r>
    </w:p>
    <w:p>
      <w:pPr>
        <w:spacing w:after="0" w:line="179"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entering into the arbitration provisions of this Section 11, THE PARTIES EXPRESSLY ACKNOWLEDGE AND AGREE THAT THEY ARE KNOWINGLY, VOLUNTARILY, AND INTENTIONALLY WAIVING THEIR RIGHTS TO A JURY TRIAL.</w:t>
      </w:r>
    </w:p>
    <w:p>
      <w:pPr>
        <w:spacing w:after="0" w:line="167" w:lineRule="exact"/>
        <w:rPr>
          <w:rFonts w:ascii="Times New Roman" w:cs="Times New Roman" w:eastAsia="Times New Roman" w:hAnsi="Times New Roman"/>
          <w:sz w:val="22"/>
          <w:szCs w:val="22"/>
          <w:color w:val="auto"/>
        </w:rPr>
      </w:pPr>
    </w:p>
    <w:p>
      <w:pPr>
        <w:jc w:val="both"/>
        <w:ind w:left="-644" w:right="20" w:firstLine="1292"/>
        <w:spacing w:after="0" w:line="257" w:lineRule="auto"/>
        <w:tabs>
          <w:tab w:leader="none" w:pos="11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spacing w:after="0" w:line="168" w:lineRule="exact"/>
        <w:rPr>
          <w:rFonts w:ascii="Times New Roman" w:cs="Times New Roman" w:eastAsia="Times New Roman" w:hAnsi="Times New Roman"/>
          <w:sz w:val="22"/>
          <w:szCs w:val="22"/>
          <w:color w:val="auto"/>
        </w:rPr>
      </w:pPr>
    </w:p>
    <w:p>
      <w:pPr>
        <w:jc w:val="both"/>
        <w:ind w:left="-644" w:firstLine="644"/>
        <w:spacing w:after="0" w:line="252" w:lineRule="auto"/>
        <w:tabs>
          <w:tab w:leader="none" w:pos="5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Executive agrees that, during the Employment Period and thereafter, upon reasonable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spacing w:after="0" w:line="179" w:lineRule="exact"/>
        <w:rPr>
          <w:rFonts w:ascii="Times New Roman" w:cs="Times New Roman" w:eastAsia="Times New Roman" w:hAnsi="Times New Roman"/>
          <w:sz w:val="22"/>
          <w:szCs w:val="22"/>
          <w:color w:val="auto"/>
        </w:rPr>
      </w:pPr>
    </w:p>
    <w:p>
      <w:pPr>
        <w:jc w:val="both"/>
        <w:ind w:left="-644" w:firstLine="644"/>
        <w:spacing w:after="0" w:line="259" w:lineRule="auto"/>
        <w:tabs>
          <w:tab w:leader="none" w:pos="5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Withholdings</w:t>
      </w:r>
      <w:r>
        <w:rPr>
          <w:rFonts w:ascii="Times New Roman" w:cs="Times New Roman" w:eastAsia="Times New Roman" w:hAnsi="Times New Roman"/>
          <w:sz w:val="22"/>
          <w:szCs w:val="22"/>
          <w:color w:val="auto"/>
        </w:rPr>
        <w:t>. The Company may withhold and deduct from any payments made or to be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all federal, state, local, and other taxes as may be required pursuant to any law or governmental regulation or ruling and (b) any deductions consented to in writing by Executive.</w:t>
      </w:r>
    </w:p>
    <w:p>
      <w:pPr>
        <w:spacing w:after="0" w:line="166"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w:t>
      </w:r>
    </w:p>
    <w:p>
      <w:pPr>
        <w:sectPr>
          <w:pgSz w:w="11900" w:h="16838" w:orient="portrait"/>
          <w:cols w:equalWidth="0" w:num="1">
            <w:col w:w="10476"/>
          </w:cols>
          <w:pgMar w:left="1084" w:top="1327" w:right="339" w:bottom="1440" w:gutter="0" w:footer="0" w:header="0"/>
        </w:sectPr>
      </w:pPr>
    </w:p>
    <w:bookmarkStart w:id="169" w:name="page170"/>
    <w:bookmarkEnd w:id="169"/>
    <w:p>
      <w:pPr>
        <w:jc w:val="both"/>
        <w:spacing w:after="0" w:line="257" w:lineRule="auto"/>
        <w:rPr>
          <w:sz w:val="20"/>
          <w:szCs w:val="20"/>
          <w:color w:val="auto"/>
        </w:rPr>
      </w:pPr>
      <w:r>
        <w:rPr>
          <w:rFonts w:ascii="Times New Roman" w:cs="Times New Roman" w:eastAsia="Times New Roman" w:hAnsi="Times New Roman"/>
          <w:sz w:val="22"/>
          <w:szCs w:val="22"/>
          <w:color w:val="auto"/>
        </w:rPr>
        <w:t>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spacing w:after="0" w:line="182" w:lineRule="exact"/>
        <w:rPr>
          <w:sz w:val="20"/>
          <w:szCs w:val="20"/>
          <w:color w:val="auto"/>
        </w:rPr>
      </w:pPr>
    </w:p>
    <w:p>
      <w:pPr>
        <w:jc w:val="both"/>
        <w:ind w:firstLine="644"/>
        <w:spacing w:after="0" w:line="251" w:lineRule="auto"/>
        <w:tabs>
          <w:tab w:leader="none" w:pos="118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Submission to Jurisdiction</w:t>
      </w:r>
      <w:r>
        <w:rPr>
          <w:rFonts w:ascii="Times New Roman" w:cs="Times New Roman" w:eastAsia="Times New Roman" w:hAnsi="Times New Roman"/>
          <w:sz w:val="22"/>
          <w:szCs w:val="22"/>
          <w:color w:val="auto"/>
        </w:rPr>
        <w:t>. This Agreement shall in all respects be construed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spacing w:after="0" w:line="175"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spacing w:after="0" w:line="190"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spacing w:after="0" w:line="193" w:lineRule="exact"/>
        <w:rPr>
          <w:rFonts w:ascii="Times New Roman" w:cs="Times New Roman" w:eastAsia="Times New Roman" w:hAnsi="Times New Roman"/>
          <w:sz w:val="22"/>
          <w:szCs w:val="22"/>
          <w:color w:val="auto"/>
        </w:rPr>
      </w:pPr>
    </w:p>
    <w:p>
      <w:pPr>
        <w:jc w:val="both"/>
        <w:ind w:firstLine="644"/>
        <w:spacing w:after="0" w:line="264" w:lineRule="auto"/>
        <w:tabs>
          <w:tab w:leader="none" w:pos="118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Executive,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spacing w:after="0" w:line="165" w:lineRule="exact"/>
        <w:rPr>
          <w:rFonts w:ascii="Times New Roman" w:cs="Times New Roman" w:eastAsia="Times New Roman" w:hAnsi="Times New Roman"/>
          <w:sz w:val="21"/>
          <w:szCs w:val="21"/>
          <w:color w:val="auto"/>
        </w:rPr>
      </w:pPr>
    </w:p>
    <w:p>
      <w:pPr>
        <w:jc w:val="both"/>
        <w:ind w:firstLine="644"/>
        <w:spacing w:after="0" w:line="259" w:lineRule="auto"/>
        <w:tabs>
          <w:tab w:leader="none" w:pos="118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Affiliates</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is defined as any person or entity Controlling,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Under Common Control with the Company.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correlative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w:t>
      </w:r>
    </w:p>
    <w:p>
      <w:pPr>
        <w:sectPr>
          <w:pgSz w:w="11900" w:h="16838" w:orient="portrait"/>
          <w:cols w:equalWidth="0" w:num="1">
            <w:col w:w="11120"/>
          </w:cols>
          <w:pgMar w:left="440" w:top="1327" w:right="339" w:bottom="1440" w:gutter="0" w:footer="0" w:header="0"/>
        </w:sectPr>
      </w:pPr>
    </w:p>
    <w:bookmarkStart w:id="170" w:name="page171"/>
    <w:bookmarkEnd w:id="170"/>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Common Control with</w:t>
      </w:r>
      <w:r>
        <w:rPr>
          <w:rFonts w:ascii="Times New Roman" w:cs="Times New Roman" w:eastAsia="Times New Roman" w:hAnsi="Times New Roman"/>
          <w:sz w:val="22"/>
          <w:szCs w:val="22"/>
          <w:color w:val="auto"/>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w:t>
      </w:r>
    </w:p>
    <w:p>
      <w:pPr>
        <w:spacing w:after="0" w:line="176" w:lineRule="exact"/>
        <w:rPr>
          <w:sz w:val="20"/>
          <w:szCs w:val="20"/>
          <w:color w:val="auto"/>
        </w:rPr>
      </w:pPr>
    </w:p>
    <w:p>
      <w:pPr>
        <w:jc w:val="both"/>
        <w:ind w:firstLine="644"/>
        <w:spacing w:after="0" w:line="258" w:lineRule="auto"/>
        <w:tabs>
          <w:tab w:leader="none" w:pos="118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Notices provided for in this Agreement shall be in writing and shall be deemed to have been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spacing w:after="0" w:line="172" w:lineRule="exact"/>
        <w:rPr>
          <w:sz w:val="20"/>
          <w:szCs w:val="20"/>
          <w:color w:val="auto"/>
        </w:rPr>
      </w:pPr>
    </w:p>
    <w:p>
      <w:pPr>
        <w:ind w:left="1820" w:right="4640" w:hanging="528"/>
        <w:spacing w:after="0" w:line="261" w:lineRule="auto"/>
        <w:tabs>
          <w:tab w:leader="none" w:pos="184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addressed to: Aviat Networks, Inc. 200 Parker Dr. Ste 100A</w:t>
      </w:r>
    </w:p>
    <w:p>
      <w:pPr>
        <w:ind w:left="1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Austin Texas 78728</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Attention: Human Resources and Legal Departments</w:t>
      </w:r>
    </w:p>
    <w:p>
      <w:pPr>
        <w:spacing w:after="0" w:line="220" w:lineRule="exact"/>
        <w:rPr>
          <w:sz w:val="20"/>
          <w:szCs w:val="20"/>
          <w:color w:val="auto"/>
        </w:rPr>
      </w:pPr>
    </w:p>
    <w:p>
      <w:pPr>
        <w:ind w:left="1840" w:hanging="548"/>
        <w:spacing w:after="0"/>
        <w:tabs>
          <w:tab w:leader="none" w:pos="18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Executive, addressed to the most recent address the Company has in its employment records for</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205" w:lineRule="exact"/>
        <w:rPr>
          <w:rFonts w:ascii="Times New Roman" w:cs="Times New Roman" w:eastAsia="Times New Roman" w:hAnsi="Times New Roman"/>
          <w:sz w:val="22"/>
          <w:szCs w:val="22"/>
          <w:color w:val="auto"/>
        </w:rPr>
      </w:pPr>
    </w:p>
    <w:p>
      <w:pPr>
        <w:jc w:val="both"/>
        <w:ind w:firstLine="644"/>
        <w:spacing w:after="0" w:line="253" w:lineRule="auto"/>
        <w:tabs>
          <w:tab w:leader="none" w:pos="118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facsimile or “.pdf”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5" w:lineRule="exact"/>
        <w:rPr>
          <w:rFonts w:ascii="Times New Roman" w:cs="Times New Roman" w:eastAsia="Times New Roman" w:hAnsi="Times New Roman"/>
          <w:sz w:val="22"/>
          <w:szCs w:val="22"/>
          <w:color w:val="auto"/>
        </w:rPr>
      </w:pPr>
    </w:p>
    <w:p>
      <w:pPr>
        <w:jc w:val="both"/>
        <w:ind w:firstLine="644"/>
        <w:spacing w:after="0" w:line="251" w:lineRule="auto"/>
        <w:tabs>
          <w:tab w:leader="none" w:pos="118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Executive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spacing w:after="0" w:line="178" w:lineRule="exact"/>
        <w:rPr>
          <w:rFonts w:ascii="Times New Roman" w:cs="Times New Roman" w:eastAsia="Times New Roman" w:hAnsi="Times New Roman"/>
          <w:sz w:val="22"/>
          <w:szCs w:val="22"/>
          <w:color w:val="auto"/>
        </w:rPr>
      </w:pPr>
    </w:p>
    <w:p>
      <w:pPr>
        <w:ind w:firstLine="644"/>
        <w:spacing w:after="0" w:line="299" w:lineRule="auto"/>
        <w:tabs>
          <w:tab w:leader="none" w:pos="11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 Sections 6(f), 7-12, 22, and 24 and those provisions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 and enforce them, shall survive any termination of the employment relationship between Executive and the Company.</w:t>
      </w:r>
    </w:p>
    <w:p>
      <w:pPr>
        <w:spacing w:after="0" w:line="127" w:lineRule="exact"/>
        <w:rPr>
          <w:rFonts w:ascii="Times New Roman" w:cs="Times New Roman" w:eastAsia="Times New Roman" w:hAnsi="Times New Roman"/>
          <w:sz w:val="21"/>
          <w:szCs w:val="21"/>
          <w:color w:val="auto"/>
        </w:rPr>
      </w:pPr>
    </w:p>
    <w:p>
      <w:pPr>
        <w:ind w:firstLine="644"/>
        <w:spacing w:after="0" w:line="275" w:lineRule="auto"/>
        <w:tabs>
          <w:tab w:leader="none" w:pos="118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Affiliate of the Company shall be a third-party beneficiary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Sections 7, 8, 9, 10, and 22 and shall be entitled to enforce such obligations as if a party hereto.</w:t>
      </w:r>
    </w:p>
    <w:p>
      <w:pPr>
        <w:sectPr>
          <w:pgSz w:w="11900" w:h="16838" w:orient="portrait"/>
          <w:cols w:equalWidth="0" w:num="1">
            <w:col w:w="11120"/>
          </w:cols>
          <w:pgMar w:left="440" w:top="1327" w:right="339" w:bottom="1440" w:gutter="0" w:footer="0" w:header="0"/>
        </w:sectPr>
      </w:pPr>
    </w:p>
    <w:bookmarkStart w:id="171" w:name="page172"/>
    <w:bookmarkEnd w:id="171"/>
    <w:p>
      <w:pPr>
        <w:jc w:val="both"/>
        <w:ind w:left="-644" w:firstLine="644"/>
        <w:spacing w:after="0" w:line="258" w:lineRule="auto"/>
        <w:tabs>
          <w:tab w:leader="none" w:pos="5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Subject to Section 9(e), if an arbitrator or court of competent jurisdiction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spacing w:after="0" w:line="167" w:lineRule="exact"/>
        <w:rPr>
          <w:rFonts w:ascii="Times New Roman" w:cs="Times New Roman" w:eastAsia="Times New Roman" w:hAnsi="Times New Roman"/>
          <w:sz w:val="22"/>
          <w:szCs w:val="22"/>
          <w:color w:val="auto"/>
        </w:rPr>
      </w:pPr>
    </w:p>
    <w:p>
      <w:pPr>
        <w:jc w:val="both"/>
        <w:ind w:left="-644" w:firstLine="644"/>
        <w:spacing w:after="0" w:line="260" w:lineRule="auto"/>
        <w:tabs>
          <w:tab w:leader="none" w:pos="54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Notwithstanding any provision of this Agreement to the contrary, all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intended to comply with Section 409A of the Code, and the applicable Treasury regulations and administrative guidance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spacing w:after="0" w:line="171" w:lineRule="exact"/>
        <w:rPr>
          <w:rFonts w:ascii="Times New Roman" w:cs="Times New Roman" w:eastAsia="Times New Roman" w:hAnsi="Times New Roman"/>
          <w:sz w:val="21"/>
          <w:szCs w:val="21"/>
          <w:color w:val="auto"/>
        </w:rPr>
      </w:pPr>
    </w:p>
    <w:p>
      <w:pPr>
        <w:jc w:val="both"/>
        <w:ind w:left="-644" w:firstLine="644"/>
        <w:spacing w:after="0" w:line="251" w:lineRule="auto"/>
        <w:tabs>
          <w:tab w:leader="none" w:pos="5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To the extent required by Company policy, applicable law, government regulation, or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w:t>
      </w:r>
    </w:p>
    <w:p>
      <w:pPr>
        <w:spacing w:after="0" w:line="178" w:lineRule="exact"/>
        <w:rPr>
          <w:rFonts w:ascii="Times New Roman" w:cs="Times New Roman" w:eastAsia="Times New Roman" w:hAnsi="Times New Roman"/>
          <w:sz w:val="22"/>
          <w:szCs w:val="22"/>
          <w:color w:val="auto"/>
        </w:rPr>
      </w:pPr>
    </w:p>
    <w:p>
      <w:pPr>
        <w:jc w:val="both"/>
        <w:ind w:left="-644" w:firstLine="644"/>
        <w:spacing w:after="0" w:line="248" w:lineRule="auto"/>
        <w:tabs>
          <w:tab w:leader="none" w:pos="5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this Agreement, if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w:t>
      </w:r>
    </w:p>
    <w:p>
      <w:pPr>
        <w:sectPr>
          <w:pgSz w:w="11900" w:h="16838" w:orient="portrait"/>
          <w:cols w:equalWidth="0" w:num="1">
            <w:col w:w="10476"/>
          </w:cols>
          <w:pgMar w:left="1084" w:top="1323" w:right="339" w:bottom="1440" w:gutter="0" w:footer="0" w:header="0"/>
        </w:sectPr>
      </w:pPr>
    </w:p>
    <w:bookmarkStart w:id="172" w:name="page173"/>
    <w:bookmarkEnd w:id="172"/>
    <w:p>
      <w:pPr>
        <w:jc w:val="both"/>
        <w:spacing w:after="0" w:line="247" w:lineRule="auto"/>
        <w:rPr>
          <w:sz w:val="20"/>
          <w:szCs w:val="20"/>
          <w:color w:val="auto"/>
        </w:rPr>
      </w:pPr>
      <w:r>
        <w:rPr>
          <w:rFonts w:ascii="Times New Roman" w:cs="Times New Roman" w:eastAsia="Times New Roman" w:hAnsi="Times New Roman"/>
          <w:sz w:val="22"/>
          <w:szCs w:val="22"/>
          <w:color w:val="auto"/>
        </w:rPr>
        <w:t>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was left blank intentionally; the signature page follows.</w:t>
      </w:r>
      <w:r>
        <w:rPr>
          <w:rFonts w:ascii="Times New Roman" w:cs="Times New Roman" w:eastAsia="Times New Roman" w:hAnsi="Times New Roman"/>
          <w:sz w:val="22"/>
          <w:szCs w:val="22"/>
          <w:color w:val="auto"/>
        </w:rPr>
        <w:t>]</w:t>
      </w:r>
    </w:p>
    <w:p>
      <w:pPr>
        <w:sectPr>
          <w:pgSz w:w="11900" w:h="16838" w:orient="portrait"/>
          <w:cols w:equalWidth="0" w:num="1">
            <w:col w:w="11120"/>
          </w:cols>
          <w:pgMar w:left="440" w:top="1327" w:right="339" w:bottom="1440" w:gutter="0" w:footer="0" w:header="0"/>
        </w:sectPr>
      </w:pPr>
    </w:p>
    <w:bookmarkStart w:id="173" w:name="page174"/>
    <w:bookmarkEnd w:id="173"/>
    <w:p>
      <w:pPr>
        <w:spacing w:after="0" w:line="11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Executive and the Company each have caused this Agreement to be executed in its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its behalf, effective for all purposes as provided above.</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Gary G. Croke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Gary G. Croke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Peter A. Smith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Peter A. Smith</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President, CEO</w:t>
      </w:r>
    </w:p>
    <w:p>
      <w:pPr>
        <w:sectPr>
          <w:pgSz w:w="11900" w:h="16838" w:orient="portrait"/>
          <w:cols w:equalWidth="0" w:num="1">
            <w:col w:w="11240"/>
          </w:cols>
          <w:pgMar w:left="320" w:top="1440" w:right="339" w:bottom="1440" w:gutter="0" w:footer="0" w:header="0"/>
        </w:sectPr>
      </w:pPr>
    </w:p>
    <w:bookmarkStart w:id="174" w:name="page175"/>
    <w:bookmarkEnd w:id="174"/>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May 28,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Michael Connaway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4"/>
        <w:spacing w:after="0" w:line="265" w:lineRule="auto"/>
        <w:tabs>
          <w:tab w:leader="none" w:pos="118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During the period commencing on the Effective Date and for the duration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(as defined in Section 4 below), the Company shall employ Executive, and Executive shall serve as Senior Vice President and Chief Financial Officer of the Company.</w:t>
      </w:r>
    </w:p>
    <w:p>
      <w:pPr>
        <w:spacing w:after="0" w:line="161"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Duties and Responsibilities of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w:t>
      </w:r>
    </w:p>
    <w:p>
      <w:pPr>
        <w:spacing w:after="0" w:line="178"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w:t>
      </w:r>
    </w:p>
    <w:p>
      <w:pPr>
        <w:spacing w:after="0" w:line="178" w:lineRule="exact"/>
        <w:rPr>
          <w:rFonts w:ascii="Times New Roman" w:cs="Times New Roman" w:eastAsia="Times New Roman" w:hAnsi="Times New Roman"/>
          <w:sz w:val="22"/>
          <w:szCs w:val="22"/>
          <w:color w:val="auto"/>
        </w:rPr>
      </w:pPr>
    </w:p>
    <w:p>
      <w:pPr>
        <w:jc w:val="both"/>
        <w:ind w:firstLine="1292"/>
        <w:spacing w:after="0" w:line="249" w:lineRule="auto"/>
        <w:tabs>
          <w:tab w:leader="none" w:pos="183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w:t>
      </w:r>
    </w:p>
    <w:p>
      <w:pPr>
        <w:spacing w:after="0" w:line="181"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you will report directly to Peter A. Smith, Chief Executive Officer.</w:t>
      </w:r>
    </w:p>
    <w:p>
      <w:pPr>
        <w:spacing w:after="0" w:line="215"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3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Executive’s annualized base salary shall be $525,000.00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w:t>
      </w:r>
    </w:p>
    <w:p>
      <w:pPr>
        <w:sectPr>
          <w:pgSz w:w="11900" w:h="16838" w:orient="portrait"/>
          <w:cols w:equalWidth="0" w:num="1">
            <w:col w:w="11120"/>
          </w:cols>
          <w:pgMar w:left="440" w:top="1175" w:right="339" w:bottom="1440" w:gutter="0" w:footer="0" w:header="0"/>
        </w:sectPr>
      </w:pPr>
    </w:p>
    <w:bookmarkStart w:id="175" w:name="page176"/>
    <w:bookmarkEnd w:id="175"/>
    <w:p>
      <w:pPr>
        <w:jc w:val="both"/>
        <w:ind w:left="-644" w:firstLine="1292"/>
        <w:spacing w:after="0" w:line="248" w:lineRule="auto"/>
        <w:tabs>
          <w:tab w:leader="none" w:pos="1187"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Employment Period, Executive shall be eligible for discretionary bonus compensation for the 2024 fiscal year and each subsequent complete fiscal year that Executive is employed by the Company hereunder (each, a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pursuant to the applicable incentive or bonus compensation plan of the Company, if any, that is applicable to similarly situated executives of the Company (each, an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Each Annual Bonus shall have a target value that is not less than 80% of Executive’s Base Salary as in effect on the first day of the Bonus Year to which such Annual Bonus relates (the “</w:t>
      </w:r>
      <w:r>
        <w:rPr>
          <w:rFonts w:ascii="Times New Roman" w:cs="Times New Roman" w:eastAsia="Times New Roman" w:hAnsi="Times New Roman"/>
          <w:sz w:val="22"/>
          <w:szCs w:val="22"/>
          <w:u w:val="single" w:color="auto"/>
          <w:color w:val="auto"/>
        </w:rPr>
        <w:t>Target Annual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Target Annual Bonus for the 2024 fiscal year shall have a target value of not less than $420,000 and will be prorated based on your start date. The performance targets that must be achieved in order to realize certain bonus levels shall be established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a committee thereof annually, in its sole discretion, and communicated to Executive in accordance with terms of the applicable incentive or bonus plan, if any, or if no such plan has been adopted, within the first 90 days of each applicable Bonus Year following 2024.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w:t>
      </w:r>
    </w:p>
    <w:p>
      <w:pPr>
        <w:spacing w:after="0" w:line="182" w:lineRule="exact"/>
        <w:rPr>
          <w:rFonts w:ascii="Times New Roman" w:cs="Times New Roman" w:eastAsia="Times New Roman" w:hAnsi="Times New Roman"/>
          <w:sz w:val="22"/>
          <w:szCs w:val="22"/>
          <w:color w:val="auto"/>
        </w:rPr>
      </w:pPr>
    </w:p>
    <w:p>
      <w:pPr>
        <w:jc w:val="both"/>
        <w:ind w:left="-644" w:firstLine="1292"/>
        <w:spacing w:after="0" w:line="249" w:lineRule="auto"/>
        <w:tabs>
          <w:tab w:leader="none" w:pos="118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With respect to the 2025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$1,000,000.00 as in effect on the first day of such fiscal year (the “</w:t>
      </w:r>
      <w:r>
        <w:rPr>
          <w:rFonts w:ascii="Times New Roman" w:cs="Times New Roman" w:eastAsia="Times New Roman" w:hAnsi="Times New Roman"/>
          <w:sz w:val="22"/>
          <w:szCs w:val="22"/>
          <w:u w:val="single" w:color="auto"/>
          <w:color w:val="auto"/>
        </w:rPr>
        <w:t>Target Annual LTIP Award</w:t>
      </w:r>
      <w:r>
        <w:rPr>
          <w:rFonts w:ascii="Times New Roman" w:cs="Times New Roman" w:eastAsia="Times New Roman" w:hAnsi="Times New Roman"/>
          <w:sz w:val="22"/>
          <w:szCs w:val="22"/>
          <w:color w:val="auto"/>
        </w:rPr>
        <w:t>”).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w:t>
      </w:r>
    </w:p>
    <w:p>
      <w:pPr>
        <w:spacing w:after="0" w:line="177"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current term of Executive’s employment under this Agreement is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Effective Date and ending on the first anniversary of the Effective Date (the “</w:t>
      </w:r>
      <w:r>
        <w:rPr>
          <w:rFonts w:ascii="Times New Roman" w:cs="Times New Roman" w:eastAsia="Times New Roman" w:hAnsi="Times New Roman"/>
          <w:sz w:val="22"/>
          <w:szCs w:val="22"/>
          <w:u w:val="single" w:color="auto"/>
          <w:color w:val="auto"/>
        </w:rPr>
        <w:t>Current Term</w:t>
      </w:r>
      <w:r>
        <w:rPr>
          <w:rFonts w:ascii="Times New Roman" w:cs="Times New Roman" w:eastAsia="Times New Roman" w:hAnsi="Times New Roman"/>
          <w:sz w:val="22"/>
          <w:szCs w:val="22"/>
          <w:color w:val="auto"/>
        </w:rPr>
        <w:t>”). On the first anniversary of the Effective Date and on each subsequent anniversary of the Effective Date, the term of Executive’s employment under this Agreement shall automatically renew and extend for a period of 12 months (each such 12-month period being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ectPr>
          <w:pgSz w:w="11900" w:h="16838" w:orient="portrait"/>
          <w:cols w:equalWidth="0" w:num="1">
            <w:col w:w="10476"/>
          </w:cols>
          <w:pgMar w:left="1084" w:top="1327" w:right="339" w:bottom="1440" w:gutter="0" w:footer="0" w:header="0"/>
        </w:sectPr>
      </w:pPr>
    </w:p>
    <w:bookmarkStart w:id="176" w:name="page177"/>
    <w:bookmarkEnd w:id="176"/>
    <w:p>
      <w:pPr>
        <w:ind w:left="-644" w:firstLine="644"/>
        <w:spacing w:after="0" w:line="275" w:lineRule="auto"/>
        <w:tabs>
          <w:tab w:leader="none" w:pos="5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Business Expenses; Benefits</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entitled to the following reimbursements and benefits during the Employment Period:</w:t>
      </w:r>
    </w:p>
    <w:p>
      <w:pPr>
        <w:spacing w:after="0" w:line="15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xml:space="preserve">. The Company agrees to reimburse Executive for Executive’s reasonable business-related expenses incurred in the performance of Executive’s duties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timely submits all documentation for such reimbursement, as required by Company policy in effect from time-to-time.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termination of Executive’s employment with the Company, in no event shall any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be made prior to the date that is six months after the date of such termination (or, if earlier, prior to the date of Executive’s death) to the extent such payment delay is required under Section 409A(a)(2)(B)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w:t>
      </w:r>
    </w:p>
    <w:p>
      <w:pPr>
        <w:spacing w:after="0" w:line="197" w:lineRule="exact"/>
        <w:rPr>
          <w:rFonts w:ascii="Times New Roman" w:cs="Times New Roman" w:eastAsia="Times New Roman" w:hAnsi="Times New Roman"/>
          <w:sz w:val="22"/>
          <w:szCs w:val="22"/>
          <w:color w:val="auto"/>
        </w:rPr>
      </w:pPr>
    </w:p>
    <w:p>
      <w:pPr>
        <w:jc w:val="both"/>
        <w:ind w:left="-644" w:firstLine="1292"/>
        <w:spacing w:after="0" w:line="251" w:lineRule="auto"/>
        <w:tabs>
          <w:tab w:leader="none" w:pos="118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w:t>
      </w:r>
    </w:p>
    <w:p>
      <w:pPr>
        <w:spacing w:after="0" w:line="177" w:lineRule="exact"/>
        <w:rPr>
          <w:rFonts w:ascii="Times New Roman" w:cs="Times New Roman" w:eastAsia="Times New Roman" w:hAnsi="Times New Roman"/>
          <w:sz w:val="22"/>
          <w:szCs w:val="22"/>
          <w:color w:val="auto"/>
        </w:rPr>
      </w:pPr>
    </w:p>
    <w:p>
      <w:pPr>
        <w:ind w:left="536" w:hanging="536"/>
        <w:spacing w:after="0"/>
        <w:tabs>
          <w:tab w:leader="none" w:pos="5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44" w:right="20" w:firstLine="1292"/>
        <w:spacing w:after="0" w:line="271" w:lineRule="auto"/>
        <w:tabs>
          <w:tab w:leader="none" w:pos="1189"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Executive’s Employment for Cause</w:t>
      </w:r>
      <w:r>
        <w:rPr>
          <w:rFonts w:ascii="Times New Roman" w:cs="Times New Roman" w:eastAsia="Times New Roman" w:hAnsi="Times New Roman"/>
          <w:sz w:val="22"/>
          <w:szCs w:val="22"/>
          <w:color w:val="auto"/>
        </w:rPr>
        <w:t>. The Company shall have the right to terminate Executive’s employment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Executive’s:</w:t>
      </w:r>
    </w:p>
    <w:p>
      <w:pPr>
        <w:spacing w:after="0" w:line="157" w:lineRule="exact"/>
        <w:rPr>
          <w:rFonts w:ascii="Times New Roman" w:cs="Times New Roman" w:eastAsia="Times New Roman" w:hAnsi="Times New Roman"/>
          <w:sz w:val="22"/>
          <w:szCs w:val="22"/>
          <w:color w:val="auto"/>
        </w:rPr>
      </w:pPr>
    </w:p>
    <w:p>
      <w:pPr>
        <w:ind w:left="-4" w:firstLine="1186"/>
        <w:spacing w:after="0" w:line="271" w:lineRule="auto"/>
        <w:tabs>
          <w:tab w:leader="none" w:pos="1832"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any policy established by the Company or any of its Affiliates including but not limited to policies regarding bribery and harassment and any other policies applicable to Executive;</w:t>
      </w:r>
    </w:p>
    <w:p>
      <w:pPr>
        <w:spacing w:after="0" w:line="171" w:lineRule="exact"/>
        <w:rPr>
          <w:rFonts w:ascii="Times New Roman" w:cs="Times New Roman" w:eastAsia="Times New Roman" w:hAnsi="Times New Roman"/>
          <w:sz w:val="22"/>
          <w:szCs w:val="22"/>
          <w:color w:val="auto"/>
        </w:rPr>
      </w:pPr>
    </w:p>
    <w:p>
      <w:pPr>
        <w:ind w:left="-4" w:firstLine="1126"/>
        <w:spacing w:after="0" w:line="271" w:lineRule="auto"/>
        <w:tabs>
          <w:tab w:leader="none" w:pos="1832"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acts of disloyalty to the Company or its Affiliates, including fraud, embezzlement, theft, commission of a felony, or proven dishonesty; or</w:t>
      </w:r>
    </w:p>
    <w:p>
      <w:pPr>
        <w:spacing w:after="0" w:line="157" w:lineRule="exact"/>
        <w:rPr>
          <w:rFonts w:ascii="Times New Roman" w:cs="Times New Roman" w:eastAsia="Times New Roman" w:hAnsi="Times New Roman"/>
          <w:sz w:val="22"/>
          <w:szCs w:val="22"/>
          <w:color w:val="auto"/>
        </w:rPr>
      </w:pPr>
    </w:p>
    <w:p>
      <w:pPr>
        <w:ind w:left="-4" w:firstLine="1065"/>
        <w:spacing w:after="0" w:line="271" w:lineRule="auto"/>
        <w:tabs>
          <w:tab w:leader="none" w:pos="1832"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in the performance of, or willful failure to perform a material function of, Executive’s duties under this Agreement.</w:t>
      </w:r>
    </w:p>
    <w:p>
      <w:pPr>
        <w:spacing w:after="0" w:line="157" w:lineRule="exact"/>
        <w:rPr>
          <w:rFonts w:ascii="Times New Roman" w:cs="Times New Roman" w:eastAsia="Times New Roman" w:hAnsi="Times New Roman"/>
          <w:sz w:val="22"/>
          <w:szCs w:val="22"/>
          <w:color w:val="auto"/>
        </w:rPr>
      </w:pPr>
    </w:p>
    <w:p>
      <w:pPr>
        <w:ind w:left="-644" w:firstLine="1292"/>
        <w:spacing w:after="0" w:line="284" w:lineRule="auto"/>
        <w:tabs>
          <w:tab w:leader="none" w:pos="118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Right to Terminate for Convenience</w:t>
      </w:r>
      <w:r>
        <w:rPr>
          <w:rFonts w:ascii="Times New Roman" w:cs="Times New Roman" w:eastAsia="Times New Roman" w:hAnsi="Times New Roman"/>
          <w:sz w:val="22"/>
          <w:szCs w:val="22"/>
          <w:color w:val="auto"/>
        </w:rPr>
        <w:t>. The Company shall have the right to terminate Executive’s employment without Cause, with or without notice, at any time and for any reason or no reason at all.</w:t>
      </w:r>
    </w:p>
    <w:p>
      <w:pPr>
        <w:sectPr>
          <w:pgSz w:w="11900" w:h="16838" w:orient="portrait"/>
          <w:cols w:equalWidth="0" w:num="1">
            <w:col w:w="10476"/>
          </w:cols>
          <w:pgMar w:left="1084" w:top="1323" w:right="339" w:bottom="1440" w:gutter="0" w:footer="0" w:header="0"/>
        </w:sectPr>
      </w:pPr>
    </w:p>
    <w:bookmarkStart w:id="177" w:name="page178"/>
    <w:bookmarkEnd w:id="177"/>
    <w:p>
      <w:pPr>
        <w:ind w:firstLine="1292"/>
        <w:spacing w:after="0" w:line="271" w:lineRule="auto"/>
        <w:tabs>
          <w:tab w:leader="none" w:pos="183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Right to Terminate for Good Reason</w:t>
      </w:r>
      <w:r>
        <w:rPr>
          <w:rFonts w:ascii="Times New Roman" w:cs="Times New Roman" w:eastAsia="Times New Roman" w:hAnsi="Times New Roman"/>
          <w:sz w:val="22"/>
          <w:szCs w:val="22"/>
          <w:color w:val="auto"/>
        </w:rPr>
        <w:t>. Executive shall have the right to terminate Executive’s employment with the Company at any time for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57" w:lineRule="exact"/>
        <w:rPr>
          <w:rFonts w:ascii="Times New Roman" w:cs="Times New Roman" w:eastAsia="Times New Roman" w:hAnsi="Times New Roman"/>
          <w:sz w:val="22"/>
          <w:szCs w:val="22"/>
          <w:color w:val="auto"/>
        </w:rPr>
      </w:pPr>
    </w:p>
    <w:p>
      <w:pPr>
        <w:ind w:left="2480" w:hanging="654"/>
        <w:spacing w:after="0"/>
        <w:tabs>
          <w:tab w:leader="none" w:pos="248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title, or responsibilities;</w:t>
      </w:r>
    </w:p>
    <w:p>
      <w:pPr>
        <w:spacing w:after="0" w:line="233" w:lineRule="exact"/>
        <w:rPr>
          <w:rFonts w:ascii="Times New Roman" w:cs="Times New Roman" w:eastAsia="Times New Roman" w:hAnsi="Times New Roman"/>
          <w:sz w:val="22"/>
          <w:szCs w:val="22"/>
          <w:color w:val="auto"/>
        </w:rPr>
      </w:pPr>
    </w:p>
    <w:p>
      <w:pPr>
        <w:ind w:left="2480" w:hanging="714"/>
        <w:spacing w:after="0"/>
        <w:tabs>
          <w:tab w:leader="none" w:pos="248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 Target Annual Bonus, or Target Annual LTIP</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195" w:lineRule="exact"/>
        <w:rPr>
          <w:rFonts w:ascii="Times New Roman" w:cs="Times New Roman" w:eastAsia="Times New Roman" w:hAnsi="Times New Roman"/>
          <w:sz w:val="22"/>
          <w:szCs w:val="22"/>
          <w:color w:val="auto"/>
        </w:rPr>
      </w:pPr>
    </w:p>
    <w:p>
      <w:pPr>
        <w:ind w:left="640" w:firstLine="1066"/>
        <w:spacing w:after="0" w:line="271" w:lineRule="auto"/>
        <w:tabs>
          <w:tab w:leader="none" w:pos="2476"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geographic location of Executive’s principal place of employment by more than 100 miles from the location of Executive’s principal place of employment as of the Effective Date; or</w:t>
      </w:r>
    </w:p>
    <w:p>
      <w:pPr>
        <w:spacing w:after="0" w:line="157" w:lineRule="exact"/>
        <w:rPr>
          <w:rFonts w:ascii="Times New Roman" w:cs="Times New Roman" w:eastAsia="Times New Roman" w:hAnsi="Times New Roman"/>
          <w:sz w:val="22"/>
          <w:szCs w:val="22"/>
          <w:color w:val="auto"/>
        </w:rPr>
      </w:pPr>
    </w:p>
    <w:p>
      <w:pPr>
        <w:ind w:left="2460" w:hanging="742"/>
        <w:spacing w:after="0"/>
        <w:tabs>
          <w:tab w:leader="none" w:pos="24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of a written notice of non-renewal of this Agreement to Executive.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w:t>
      </w:r>
    </w:p>
    <w:p>
      <w:pPr>
        <w:spacing w:after="0" w:line="179" w:lineRule="exact"/>
        <w:rPr>
          <w:sz w:val="20"/>
          <w:szCs w:val="20"/>
          <w:color w:val="auto"/>
        </w:rPr>
      </w:pPr>
    </w:p>
    <w:p>
      <w:pPr>
        <w:jc w:val="both"/>
        <w:ind w:firstLine="1292"/>
        <w:spacing w:after="0" w:line="248" w:lineRule="auto"/>
        <w:tabs>
          <w:tab w:leader="none" w:pos="183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with the Company shall terminate upon the death or Disability of Executive.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w:t>
      </w:r>
    </w:p>
    <w:p>
      <w:pPr>
        <w:spacing w:after="0" w:line="185" w:lineRule="exact"/>
        <w:rPr>
          <w:rFonts w:ascii="Times New Roman" w:cs="Times New Roman" w:eastAsia="Times New Roman" w:hAnsi="Times New Roman"/>
          <w:sz w:val="22"/>
          <w:szCs w:val="22"/>
          <w:color w:val="auto"/>
        </w:rPr>
      </w:pPr>
    </w:p>
    <w:p>
      <w:pPr>
        <w:jc w:val="both"/>
        <w:ind w:firstLine="1292"/>
        <w:spacing w:after="0" w:line="268" w:lineRule="auto"/>
        <w:tabs>
          <w:tab w:leader="none" w:pos="1833"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Right to Terminate for Convenience</w:t>
      </w:r>
      <w:r>
        <w:rPr>
          <w:rFonts w:ascii="Times New Roman" w:cs="Times New Roman" w:eastAsia="Times New Roman" w:hAnsi="Times New Roman"/>
          <w:sz w:val="21"/>
          <w:szCs w:val="21"/>
          <w:color w:val="auto"/>
        </w:rPr>
        <w:t xml:space="preserve">. Executive shall have the right to terminate Executive’s employment with the Company for convenience at any time upon 60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w:t>
      </w:r>
    </w:p>
    <w:p>
      <w:pPr>
        <w:sectPr>
          <w:pgSz w:w="11900" w:h="16838" w:orient="portrait"/>
          <w:cols w:equalWidth="0" w:num="1">
            <w:col w:w="11120"/>
          </w:cols>
          <w:pgMar w:left="440" w:top="1327" w:right="339" w:bottom="1440" w:gutter="0" w:footer="0" w:header="0"/>
        </w:sectPr>
      </w:pPr>
    </w:p>
    <w:bookmarkStart w:id="178" w:name="page179"/>
    <w:bookmarkEnd w:id="178"/>
    <w:p>
      <w:pPr>
        <w:spacing w:after="0" w:line="131" w:lineRule="exact"/>
        <w:rPr>
          <w:sz w:val="20"/>
          <w:szCs w:val="20"/>
          <w:color w:val="auto"/>
        </w:rPr>
      </w:pPr>
    </w:p>
    <w:p>
      <w:pPr>
        <w:ind w:left="840" w:hanging="548"/>
        <w:spacing w:after="0"/>
        <w:tabs>
          <w:tab w:leader="none" w:pos="8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60" w:firstLine="1185"/>
        <w:spacing w:after="0" w:line="249" w:lineRule="auto"/>
        <w:tabs>
          <w:tab w:leader="none" w:pos="1476"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w:t>
      </w:r>
    </w:p>
    <w:p>
      <w:pPr>
        <w:spacing w:after="0" w:line="183" w:lineRule="exact"/>
        <w:rPr>
          <w:rFonts w:ascii="Times New Roman" w:cs="Times New Roman" w:eastAsia="Times New Roman" w:hAnsi="Times New Roman"/>
          <w:sz w:val="22"/>
          <w:szCs w:val="22"/>
          <w:color w:val="auto"/>
        </w:rPr>
      </w:pPr>
    </w:p>
    <w:p>
      <w:pPr>
        <w:jc w:val="both"/>
        <w:ind w:left="-360" w:firstLine="1126"/>
        <w:spacing w:after="0" w:line="249" w:lineRule="auto"/>
        <w:tabs>
          <w:tab w:leader="none" w:pos="1476"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abides by the terms of Sections 7, 8, 9, 10, and 12:</w:t>
      </w:r>
    </w:p>
    <w:p>
      <w:pPr>
        <w:spacing w:after="0" w:line="195"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2130"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 amount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equal to the product of (x) 1.0 (and, if such termination occurs within three months preceeding or 12 months following a Change in Control (as defined below), 1.0) and (y) the sum of Executive’s Base Salary as in effect on the date of the termination of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Executive’s prorated Annual Bonus as of the Termination Date (or, if such termination occurs within three months preceeding or 12 months following a Change in Control, the target bonus). The Severance Payment will be paid in a lump sum, subject to all applicable taxes on or before the Company’s first regularly scheduled pay date that is on or after the date that is 60 days after the Termination Date.</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53" w:lineRule="auto"/>
        <w:tabs>
          <w:tab w:leader="none" w:pos="2132"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w:t>
      </w:r>
    </w:p>
    <w:p>
      <w:pPr>
        <w:sectPr>
          <w:pgSz w:w="11900" w:h="16838" w:orient="portrait"/>
          <w:cols w:equalWidth="0" w:num="1">
            <w:col w:w="10120"/>
          </w:cols>
          <w:pgMar w:left="1440" w:top="1440" w:right="339" w:bottom="1440" w:gutter="0" w:footer="0" w:header="0"/>
        </w:sectPr>
      </w:pPr>
    </w:p>
    <w:bookmarkStart w:id="179" w:name="page180"/>
    <w:bookmarkEnd w:id="179"/>
    <w:p>
      <w:pPr>
        <w:jc w:val="both"/>
        <w:ind w:left="660" w:firstLine="1288"/>
        <w:spacing w:after="0" w:line="247" w:lineRule="auto"/>
        <w:tabs>
          <w:tab w:leader="none" w:pos="249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timely and properly elects to continue coverage for Executive and Executive’s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used herein,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xml:space="preserve">”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COBRA Continuation Period shall immediately terminate upon the earlier of (1) the time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w:t>
      </w:r>
    </w:p>
    <w:p>
      <w:pPr>
        <w:spacing w:after="0" w:line="172" w:lineRule="exact"/>
        <w:rPr>
          <w:sz w:val="20"/>
          <w:szCs w:val="20"/>
          <w:color w:val="auto"/>
        </w:rPr>
      </w:pPr>
    </w:p>
    <w:p>
      <w:pPr>
        <w:jc w:val="both"/>
        <w:ind w:firstLine="1066"/>
        <w:spacing w:after="0" w:line="265" w:lineRule="auto"/>
        <w:tabs>
          <w:tab w:leader="none" w:pos="183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w:t>
      </w:r>
      <w:r>
        <w:rPr>
          <w:rFonts w:ascii="Times New Roman" w:cs="Times New Roman" w:eastAsia="Times New Roman" w:hAnsi="Times New Roman"/>
          <w:sz w:val="21"/>
          <w:szCs w:val="21"/>
          <w:u w:val="single" w:color="auto"/>
          <w:color w:val="auto"/>
        </w:rPr>
        <w:t>Release Expiration Date</w:t>
      </w:r>
      <w:r>
        <w:rPr>
          <w:rFonts w:ascii="Times New Roman" w:cs="Times New Roman" w:eastAsia="Times New Roman" w:hAnsi="Times New Roman"/>
          <w:sz w:val="21"/>
          <w:szCs w:val="21"/>
          <w:color w:val="auto"/>
        </w:rPr>
        <w:t>” is that date that is 21 days following the date upon which the Company delivers the Release to Executive (which shall occur no later than seven days after the Termination Date) or, in the event that such termination of employment is “in connection with an exit incentive or other</w:t>
      </w:r>
    </w:p>
    <w:p>
      <w:pPr>
        <w:sectPr>
          <w:pgSz w:w="11900" w:h="16838" w:orient="portrait"/>
          <w:cols w:equalWidth="0" w:num="1">
            <w:col w:w="10480"/>
          </w:cols>
          <w:pgMar w:left="1080" w:top="1327" w:right="339" w:bottom="1440" w:gutter="0" w:footer="0" w:header="0"/>
        </w:sectPr>
      </w:pPr>
    </w:p>
    <w:bookmarkStart w:id="180" w:name="page181"/>
    <w:bookmarkEnd w:id="180"/>
    <w:p>
      <w:pPr>
        <w:spacing w:after="0" w:line="271" w:lineRule="auto"/>
        <w:rPr>
          <w:sz w:val="20"/>
          <w:szCs w:val="20"/>
          <w:color w:val="auto"/>
        </w:rPr>
      </w:pPr>
      <w:r>
        <w:rPr>
          <w:rFonts w:ascii="Times New Roman" w:cs="Times New Roman" w:eastAsia="Times New Roman" w:hAnsi="Times New Roman"/>
          <w:sz w:val="22"/>
          <w:szCs w:val="22"/>
          <w:color w:val="auto"/>
        </w:rPr>
        <w:t>employment termination program” (as such phrase is defined in the Age Discrimination in Employment Act of 1967, as amended), the date that is 45 days following such delivery date.</w:t>
      </w:r>
    </w:p>
    <w:p>
      <w:pPr>
        <w:spacing w:after="0" w:line="158" w:lineRule="exact"/>
        <w:rPr>
          <w:sz w:val="20"/>
          <w:szCs w:val="20"/>
          <w:color w:val="auto"/>
        </w:rPr>
      </w:pPr>
    </w:p>
    <w:p>
      <w:pPr>
        <w:ind w:firstLine="1078"/>
        <w:spacing w:after="0" w:line="284" w:lineRule="auto"/>
        <w:tabs>
          <w:tab w:leader="none" w:pos="1822"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one or more of the following transactions following the Effective Date:</w:t>
      </w:r>
    </w:p>
    <w:p>
      <w:pPr>
        <w:spacing w:after="0" w:line="143" w:lineRule="exact"/>
        <w:rPr>
          <w:rFonts w:ascii="Times New Roman" w:cs="Times New Roman" w:eastAsia="Times New Roman" w:hAnsi="Times New Roman"/>
          <w:sz w:val="22"/>
          <w:szCs w:val="22"/>
          <w:color w:val="auto"/>
        </w:rPr>
      </w:pPr>
    </w:p>
    <w:p>
      <w:pPr>
        <w:ind w:left="660" w:firstLine="1288"/>
        <w:spacing w:after="0" w:line="271" w:lineRule="auto"/>
        <w:tabs>
          <w:tab w:leader="none" w:pos="2490" w:val="left"/>
        </w:tabs>
        <w:numPr>
          <w:ilvl w:val="3"/>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disposal by the Company of all or substantially all of its assets to any person other than an Affiliate of the Company;</w:t>
      </w:r>
    </w:p>
    <w:p>
      <w:pPr>
        <w:spacing w:after="0" w:line="157" w:lineRule="exact"/>
        <w:rPr>
          <w:rFonts w:ascii="Times New Roman" w:cs="Times New Roman" w:eastAsia="Times New Roman" w:hAnsi="Times New Roman"/>
          <w:sz w:val="22"/>
          <w:szCs w:val="22"/>
          <w:color w:val="auto"/>
        </w:rPr>
      </w:pPr>
    </w:p>
    <w:p>
      <w:pPr>
        <w:jc w:val="both"/>
        <w:ind w:left="660" w:right="20" w:firstLine="1288"/>
        <w:spacing w:after="0" w:line="257" w:lineRule="auto"/>
        <w:tabs>
          <w:tab w:leader="none" w:pos="2492" w:val="left"/>
        </w:tabs>
        <w:numPr>
          <w:ilvl w:val="3"/>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w:t>
      </w:r>
    </w:p>
    <w:p>
      <w:pPr>
        <w:spacing w:after="0" w:line="186" w:lineRule="exact"/>
        <w:rPr>
          <w:rFonts w:ascii="Times New Roman" w:cs="Times New Roman" w:eastAsia="Times New Roman" w:hAnsi="Times New Roman"/>
          <w:sz w:val="22"/>
          <w:szCs w:val="22"/>
          <w:color w:val="auto"/>
        </w:rPr>
      </w:pPr>
    </w:p>
    <w:p>
      <w:pPr>
        <w:jc w:val="both"/>
        <w:ind w:left="660" w:firstLine="1288"/>
        <w:spacing w:after="0" w:line="252" w:lineRule="auto"/>
        <w:tabs>
          <w:tab w:leader="none" w:pos="2492" w:val="left"/>
        </w:tabs>
        <w:numPr>
          <w:ilvl w:val="3"/>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group (as defined in Section 13d(d)(3)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of the beneficial ownership (as defined in Section 13d(d)(3) of the Exchange Act) of more than 50% of the equity of the Company entitled to vote in the election of the Company’s directors (or the persons performing the functions of directors).</w:t>
      </w:r>
    </w:p>
    <w:p>
      <w:pPr>
        <w:spacing w:after="0" w:line="179"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Meaning of Termination of Employment</w:t>
      </w:r>
      <w:r>
        <w:rPr>
          <w:rFonts w:ascii="Times New Roman" w:cs="Times New Roman" w:eastAsia="Times New Roman" w:hAnsi="Times New Roman"/>
          <w:sz w:val="22"/>
          <w:szCs w:val="22"/>
          <w:color w:val="auto"/>
        </w:rPr>
        <w:t>. For all purposes of this Agreement, Executive shall be considered to have terminated employment with the Company when Executive incurs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with the Company within the meaning of Section 409A(a)(2)(A)(i) of the Code;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w:t>
      </w:r>
    </w:p>
    <w:p>
      <w:pPr>
        <w:spacing w:after="0" w:line="190" w:lineRule="exact"/>
        <w:rPr>
          <w:rFonts w:ascii="Times New Roman" w:cs="Times New Roman" w:eastAsia="Times New Roman" w:hAnsi="Times New Roman"/>
          <w:sz w:val="22"/>
          <w:szCs w:val="22"/>
          <w:color w:val="auto"/>
        </w:rPr>
      </w:pPr>
    </w:p>
    <w:p>
      <w:pPr>
        <w:ind w:left="-640" w:firstLine="644"/>
        <w:spacing w:after="0" w:line="275" w:lineRule="auto"/>
        <w:tabs>
          <w:tab w:leader="none" w:pos="5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 of Interest; Disclosure of Opportunities</w:t>
      </w:r>
      <w:r>
        <w:rPr>
          <w:rFonts w:ascii="Times New Roman" w:cs="Times New Roman" w:eastAsia="Times New Roman" w:hAnsi="Times New Roman"/>
          <w:sz w:val="22"/>
          <w:szCs w:val="22"/>
          <w:color w:val="auto"/>
        </w:rPr>
        <w:t>. Executive agrees that Executive shall promptly disclose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any conflict of interest involving Executive upon Executive becoming aware of such conflict.</w:t>
      </w:r>
    </w:p>
    <w:p>
      <w:pPr>
        <w:spacing w:after="0" w:line="149" w:lineRule="exact"/>
        <w:rPr>
          <w:rFonts w:ascii="Times New Roman" w:cs="Times New Roman" w:eastAsia="Times New Roman" w:hAnsi="Times New Roman"/>
          <w:sz w:val="22"/>
          <w:szCs w:val="22"/>
          <w:color w:val="auto"/>
        </w:rPr>
      </w:pPr>
    </w:p>
    <w:p>
      <w:pPr>
        <w:jc w:val="both"/>
        <w:ind w:left="-640" w:firstLine="644"/>
        <w:spacing w:after="0" w:line="254" w:lineRule="auto"/>
        <w:tabs>
          <w:tab w:leader="none" w:pos="5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in the course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w:t>
      </w:r>
    </w:p>
    <w:p>
      <w:pPr>
        <w:spacing w:after="0" w:line="177" w:lineRule="exact"/>
        <w:rPr>
          <w:rFonts w:ascii="Times New Roman" w:cs="Times New Roman" w:eastAsia="Times New Roman" w:hAnsi="Times New Roman"/>
          <w:sz w:val="22"/>
          <w:szCs w:val="22"/>
          <w:color w:val="auto"/>
        </w:rPr>
      </w:pPr>
    </w:p>
    <w:p>
      <w:pPr>
        <w:jc w:val="both"/>
        <w:ind w:left="-640" w:firstLine="1292"/>
        <w:spacing w:after="0" w:line="251" w:lineRule="auto"/>
        <w:tabs>
          <w:tab w:leader="none" w:pos="119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w:t>
      </w:r>
    </w:p>
    <w:p>
      <w:pPr>
        <w:sectPr>
          <w:pgSz w:w="11900" w:h="16838" w:orient="portrait"/>
          <w:cols w:equalWidth="0" w:num="1">
            <w:col w:w="10480"/>
          </w:cols>
          <w:pgMar w:left="1080" w:top="132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Information, whether now known or later to become known to Executive during the Employment Period.</w:t>
      </w:r>
    </w:p>
    <w:p>
      <w:pPr>
        <w:spacing w:after="0" w:line="220" w:lineRule="exact"/>
        <w:rPr>
          <w:sz w:val="20"/>
          <w:szCs w:val="20"/>
          <w:color w:val="auto"/>
        </w:rPr>
      </w:pPr>
    </w:p>
    <w:p>
      <w:pPr>
        <w:ind w:left="1820" w:hanging="528"/>
        <w:spacing w:after="0"/>
        <w:tabs>
          <w:tab w:leader="none" w:pos="182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8(a), Executive may make the following disclosures and uses of 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209" w:lineRule="exact"/>
        <w:rPr>
          <w:sz w:val="20"/>
          <w:szCs w:val="20"/>
          <w:color w:val="auto"/>
        </w:rPr>
      </w:pPr>
    </w:p>
    <w:p>
      <w:pPr>
        <w:ind w:left="640" w:firstLine="1186"/>
        <w:spacing w:after="0" w:line="271" w:lineRule="auto"/>
        <w:tabs>
          <w:tab w:leader="none" w:pos="2476"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to other executives or employees of the Company or its Affiliates who have a need to know the information in connection with the business of the Company or its Affiliates;</w:t>
      </w:r>
    </w:p>
    <w:p>
      <w:pPr>
        <w:spacing w:after="0" w:line="157" w:lineRule="exact"/>
        <w:rPr>
          <w:rFonts w:ascii="Times New Roman" w:cs="Times New Roman" w:eastAsia="Times New Roman" w:hAnsi="Times New Roman"/>
          <w:sz w:val="22"/>
          <w:szCs w:val="22"/>
          <w:color w:val="auto"/>
        </w:rPr>
      </w:pPr>
    </w:p>
    <w:p>
      <w:pPr>
        <w:ind w:left="640" w:right="20" w:firstLine="1126"/>
        <w:spacing w:after="0" w:line="271" w:lineRule="auto"/>
        <w:tabs>
          <w:tab w:leader="none" w:pos="2476"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and uses that are incidental to Executive’s provision of services to the Company and its Affiliates consistent with the terms of this Agreement or that are approved by the Board;</w:t>
      </w:r>
    </w:p>
    <w:p>
      <w:pPr>
        <w:spacing w:after="0" w:line="157"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for the purpose of complying with any applicable laws or regulatory requirements; or</w:t>
      </w:r>
    </w:p>
    <w:p>
      <w:pPr>
        <w:spacing w:after="0" w:line="219" w:lineRule="exact"/>
        <w:rPr>
          <w:rFonts w:ascii="Times New Roman" w:cs="Times New Roman" w:eastAsia="Times New Roman" w:hAnsi="Times New Roman"/>
          <w:sz w:val="22"/>
          <w:szCs w:val="22"/>
          <w:color w:val="auto"/>
        </w:rPr>
      </w:pPr>
    </w:p>
    <w:p>
      <w:pPr>
        <w:jc w:val="both"/>
        <w:ind w:left="640" w:firstLine="1078"/>
        <w:spacing w:after="0" w:line="263" w:lineRule="auto"/>
        <w:tabs>
          <w:tab w:leader="none" w:pos="2462"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disclosures that Executive is legally compelled to make by deposition, interrogatory, request for documents, subpoena, civil investigative demand, order of a court of competent jurisdiction, or similar process, or otherwise by law.</w:t>
      </w:r>
    </w:p>
    <w:p>
      <w:pPr>
        <w:spacing w:after="0" w:line="167"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3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w:t>
      </w:r>
    </w:p>
    <w:p>
      <w:pPr>
        <w:spacing w:after="0" w:line="178"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w:t>
      </w:r>
    </w:p>
    <w:p>
      <w:pPr>
        <w:sectPr>
          <w:pgSz w:w="11900" w:h="16838" w:orient="portrait"/>
          <w:cols w:equalWidth="0" w:num="1">
            <w:col w:w="11120"/>
          </w:cols>
          <w:pgMar w:left="440" w:top="1327" w:right="339" w:bottom="1440" w:gutter="0" w:footer="0" w:header="0"/>
        </w:sectPr>
      </w:pPr>
    </w:p>
    <w:bookmarkStart w:id="182" w:name="page183"/>
    <w:bookmarkEnd w:id="182"/>
    <w:p>
      <w:pPr>
        <w:jc w:val="both"/>
        <w:ind w:left="-644" w:firstLine="1292"/>
        <w:spacing w:after="0" w:line="260" w:lineRule="auto"/>
        <w:tabs>
          <w:tab w:leader="none" w:pos="1189"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21"/>
          <w:szCs w:val="21"/>
          <w:u w:val="single" w:color="auto"/>
          <w:color w:val="auto"/>
        </w:rPr>
        <w:t>Governmental Authorities</w:t>
      </w:r>
      <w:r>
        <w:rPr>
          <w:rFonts w:ascii="Times New Roman" w:cs="Times New Roman" w:eastAsia="Times New Roman" w:hAnsi="Times New Roman"/>
          <w:sz w:val="21"/>
          <w:szCs w:val="21"/>
          <w:color w:val="auto"/>
        </w:rPr>
        <w:t>”) regarding a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w:t>
      </w:r>
    </w:p>
    <w:p>
      <w:pPr>
        <w:spacing w:after="0" w:line="181" w:lineRule="exact"/>
        <w:rPr>
          <w:rFonts w:ascii="Times New Roman" w:cs="Times New Roman" w:eastAsia="Times New Roman" w:hAnsi="Times New Roman"/>
          <w:sz w:val="21"/>
          <w:szCs w:val="21"/>
          <w:color w:val="auto"/>
        </w:rPr>
      </w:pPr>
    </w:p>
    <w:p>
      <w:pPr>
        <w:ind w:left="536" w:hanging="536"/>
        <w:spacing w:after="0"/>
        <w:tabs>
          <w:tab w:leader="none" w:pos="5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4" w:firstLine="1292"/>
        <w:spacing w:after="0" w:line="248" w:lineRule="auto"/>
        <w:tabs>
          <w:tab w:leader="none" w:pos="118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w:t>
      </w:r>
    </w:p>
    <w:p>
      <w:pPr>
        <w:spacing w:after="0" w:line="185"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the period set forth in Section 9(c) below, Executive shall not, without the prior written approval of the Company, directly or indirectly, for Executive or on behalf of or in conjunction with any other person or entity of whatever nature:</w:t>
      </w:r>
    </w:p>
    <w:p>
      <w:pPr>
        <w:spacing w:after="0" w:line="167" w:lineRule="exact"/>
        <w:rPr>
          <w:rFonts w:ascii="Times New Roman" w:cs="Times New Roman" w:eastAsia="Times New Roman" w:hAnsi="Times New Roman"/>
          <w:sz w:val="22"/>
          <w:szCs w:val="22"/>
          <w:color w:val="auto"/>
        </w:rPr>
      </w:pPr>
    </w:p>
    <w:p>
      <w:pPr>
        <w:jc w:val="both"/>
        <w:ind w:left="-4" w:firstLine="1186"/>
        <w:spacing w:after="0" w:line="250" w:lineRule="auto"/>
        <w:tabs>
          <w:tab w:leader="none" w:pos="1832"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Protected Affiliates</w:t>
      </w:r>
      <w:r>
        <w:rPr>
          <w:rFonts w:ascii="Times New Roman" w:cs="Times New Roman" w:eastAsia="Times New Roman" w:hAnsi="Times New Roman"/>
          <w:sz w:val="22"/>
          <w:szCs w:val="22"/>
          <w:color w:val="auto"/>
        </w:rPr>
        <w:t>” means any Affiliate of the Company for which Executive provided services during the period of Executive’s employment with the Company, or about which Executive obtained Confidential Information during the period of Executive’s employment with the Company.</w:t>
      </w:r>
    </w:p>
    <w:p>
      <w:pPr>
        <w:sectPr>
          <w:pgSz w:w="11900" w:h="16838" w:orient="portrait"/>
          <w:cols w:equalWidth="0" w:num="1">
            <w:col w:w="10476"/>
          </w:cols>
          <w:pgMar w:left="1084" w:top="1327" w:right="339" w:bottom="1440" w:gutter="0" w:footer="0" w:header="0"/>
        </w:sectPr>
      </w:pPr>
    </w:p>
    <w:bookmarkStart w:id="183" w:name="page184"/>
    <w:bookmarkEnd w:id="183"/>
    <w:p>
      <w:pPr>
        <w:jc w:val="both"/>
        <w:ind w:left="640" w:firstLine="1126"/>
        <w:spacing w:after="0" w:line="256" w:lineRule="auto"/>
        <w:tabs>
          <w:tab w:leader="none" w:pos="247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any Business Opportunity of, or relating to, the Company or its Affiliates located in the Market Area, or engage in any activity that is detrimental to the Company or its Affiliates or that limits the Company’s or an Affiliate’s ability to fully exploit such Business Opportunities or prevents the benefits of such Business Opportunities from accruing to the Company or its Affiliates; or</w:t>
      </w:r>
    </w:p>
    <w:p>
      <w:pPr>
        <w:spacing w:after="0" w:line="176" w:lineRule="exact"/>
        <w:rPr>
          <w:rFonts w:ascii="Times New Roman" w:cs="Times New Roman" w:eastAsia="Times New Roman" w:hAnsi="Times New Roman"/>
          <w:sz w:val="22"/>
          <w:szCs w:val="22"/>
          <w:color w:val="auto"/>
        </w:rPr>
      </w:pPr>
    </w:p>
    <w:p>
      <w:pPr>
        <w:ind w:left="2480" w:hanging="774"/>
        <w:spacing w:after="0"/>
        <w:tabs>
          <w:tab w:leader="none" w:pos="248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any employee of the Company or its Affiliates to terminate his or her employment therewith.</w:t>
      </w:r>
    </w:p>
    <w:p>
      <w:pPr>
        <w:spacing w:after="0" w:line="231" w:lineRule="exact"/>
        <w:rPr>
          <w:rFonts w:ascii="Times New Roman" w:cs="Times New Roman" w:eastAsia="Times New Roman" w:hAnsi="Times New Roman"/>
          <w:sz w:val="21"/>
          <w:szCs w:val="21"/>
          <w:color w:val="auto"/>
        </w:rPr>
      </w:pPr>
    </w:p>
    <w:p>
      <w:pPr>
        <w:jc w:val="both"/>
        <w:ind w:firstLine="1292"/>
        <w:spacing w:after="0" w:line="257" w:lineRule="auto"/>
        <w:tabs>
          <w:tab w:leader="none" w:pos="183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Timeframe of Non-Competition and Non-Solicitation Agreement</w:t>
      </w:r>
      <w:r>
        <w:rPr>
          <w:rFonts w:ascii="Times New Roman" w:cs="Times New Roman" w:eastAsia="Times New Roman" w:hAnsi="Times New Roman"/>
          <w:sz w:val="22"/>
          <w:szCs w:val="22"/>
          <w:color w:val="auto"/>
        </w:rPr>
        <w: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w:t>
      </w:r>
    </w:p>
    <w:p>
      <w:pPr>
        <w:spacing w:after="0" w:line="172" w:lineRule="exact"/>
        <w:rPr>
          <w:rFonts w:ascii="Times New Roman" w:cs="Times New Roman" w:eastAsia="Times New Roman" w:hAnsi="Times New Roman"/>
          <w:sz w:val="22"/>
          <w:szCs w:val="22"/>
          <w:color w:val="auto"/>
        </w:rPr>
      </w:pPr>
    </w:p>
    <w:p>
      <w:pPr>
        <w:jc w:val="both"/>
        <w:ind w:firstLine="1292"/>
        <w:spacing w:after="0" w:line="265" w:lineRule="auto"/>
        <w:tabs>
          <w:tab w:leader="none" w:pos="183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w:t>
      </w:r>
    </w:p>
    <w:p>
      <w:pPr>
        <w:spacing w:after="0" w:line="182" w:lineRule="exact"/>
        <w:rPr>
          <w:rFonts w:ascii="Times New Roman" w:cs="Times New Roman" w:eastAsia="Times New Roman" w:hAnsi="Times New Roman"/>
          <w:sz w:val="21"/>
          <w:szCs w:val="21"/>
          <w:color w:val="auto"/>
        </w:rPr>
      </w:pPr>
    </w:p>
    <w:p>
      <w:pPr>
        <w:jc w:val="both"/>
        <w:ind w:firstLine="1292"/>
        <w:spacing w:after="0" w:line="250" w:lineRule="auto"/>
        <w:tabs>
          <w:tab w:leader="none" w:pos="183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w:t>
      </w:r>
    </w:p>
    <w:p>
      <w:pPr>
        <w:spacing w:after="0" w:line="194" w:lineRule="exact"/>
        <w:rPr>
          <w:rFonts w:ascii="Times New Roman" w:cs="Times New Roman" w:eastAsia="Times New Roman" w:hAnsi="Times New Roman"/>
          <w:sz w:val="22"/>
          <w:szCs w:val="22"/>
          <w:color w:val="auto"/>
        </w:rPr>
      </w:pPr>
    </w:p>
    <w:p>
      <w:pPr>
        <w:ind w:left="1840" w:hanging="548"/>
        <w:spacing w:after="0"/>
        <w:tabs>
          <w:tab w:leader="none" w:pos="18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96" w:lineRule="exact"/>
        <w:rPr>
          <w:sz w:val="20"/>
          <w:szCs w:val="20"/>
          <w:color w:val="auto"/>
        </w:rPr>
      </w:pPr>
    </w:p>
    <w:p>
      <w:pPr>
        <w:ind w:left="640" w:right="2800" w:firstLine="1186"/>
        <w:spacing w:after="0" w:line="271" w:lineRule="auto"/>
        <w:tabs>
          <w:tab w:leader="none" w:pos="2476"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shall mean any commercial, investment, or other business opportunity relating to the Business.</w:t>
      </w:r>
    </w:p>
    <w:p>
      <w:pPr>
        <w:spacing w:after="0" w:line="157" w:lineRule="exact"/>
        <w:rPr>
          <w:rFonts w:ascii="Times New Roman" w:cs="Times New Roman" w:eastAsia="Times New Roman" w:hAnsi="Times New Roman"/>
          <w:sz w:val="22"/>
          <w:szCs w:val="22"/>
          <w:color w:val="auto"/>
        </w:rPr>
      </w:pPr>
    </w:p>
    <w:p>
      <w:pPr>
        <w:jc w:val="both"/>
        <w:ind w:left="640" w:firstLine="1126"/>
        <w:spacing w:after="0" w:line="263" w:lineRule="auto"/>
        <w:tabs>
          <w:tab w:leader="none" w:pos="2476"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Area</w:t>
      </w:r>
      <w:r>
        <w:rPr>
          <w:rFonts w:ascii="Times New Roman" w:cs="Times New Roman" w:eastAsia="Times New Roman" w:hAnsi="Times New Roman"/>
          <w:sz w:val="22"/>
          <w:szCs w:val="22"/>
          <w:color w:val="auto"/>
        </w:rPr>
        <w:t>” shall mean any location or geographic area within 75 miles of a location where the Company or its Affiliates conducts Business, or has plans to conduct Business of which Executive is aware, during the period of Executive’s employment with the Company.</w:t>
      </w:r>
    </w:p>
    <w:p>
      <w:pPr>
        <w:spacing w:after="0" w:line="167" w:lineRule="exact"/>
        <w:rPr>
          <w:rFonts w:ascii="Times New Roman" w:cs="Times New Roman" w:eastAsia="Times New Roman" w:hAnsi="Times New Roman"/>
          <w:sz w:val="22"/>
          <w:szCs w:val="22"/>
          <w:color w:val="auto"/>
        </w:rPr>
      </w:pPr>
    </w:p>
    <w:p>
      <w:pPr>
        <w:jc w:val="both"/>
        <w:ind w:firstLine="1292"/>
        <w:spacing w:after="0" w:line="275" w:lineRule="auto"/>
        <w:tabs>
          <w:tab w:leader="none" w:pos="183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w:t>
      </w:r>
    </w:p>
    <w:p>
      <w:pPr>
        <w:spacing w:after="0" w:line="151" w:lineRule="exact"/>
        <w:rPr>
          <w:rFonts w:ascii="Times New Roman" w:cs="Times New Roman" w:eastAsia="Times New Roman" w:hAnsi="Times New Roman"/>
          <w:sz w:val="21"/>
          <w:szCs w:val="21"/>
          <w:color w:val="auto"/>
        </w:rPr>
      </w:pPr>
    </w:p>
    <w:p>
      <w:pPr>
        <w:ind w:firstLine="644"/>
        <w:spacing w:after="0" w:line="287" w:lineRule="auto"/>
        <w:tabs>
          <w:tab w:leader="none" w:pos="118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 Executive agrees that the Company or its applicable Affiliate shall own,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assigns, all right, title, and interest (including</w:t>
      </w:r>
    </w:p>
    <w:p>
      <w:pPr>
        <w:sectPr>
          <w:pgSz w:w="11900" w:h="16838" w:orient="portrait"/>
          <w:cols w:equalWidth="0" w:num="1">
            <w:col w:w="11120"/>
          </w:cols>
          <w:pgMar w:left="440" w:top="1327" w:right="339" w:bottom="1440" w:gutter="0" w:footer="0" w:header="0"/>
        </w:sectPr>
      </w:pPr>
    </w:p>
    <w:bookmarkStart w:id="184" w:name="page185"/>
    <w:bookmarkEnd w:id="184"/>
    <w:p>
      <w:pPr>
        <w:jc w:val="both"/>
        <w:spacing w:after="0" w:line="247" w:lineRule="auto"/>
        <w:rPr>
          <w:sz w:val="20"/>
          <w:szCs w:val="20"/>
          <w:color w:val="auto"/>
        </w:rPr>
      </w:pPr>
      <w:r>
        <w:rPr>
          <w:rFonts w:ascii="Times New Roman" w:cs="Times New Roman" w:eastAsia="Times New Roman" w:hAnsi="Times New Roman"/>
          <w:sz w:val="22"/>
          <w:szCs w:val="22"/>
          <w:color w:val="auto"/>
        </w:rPr>
        <w:t>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t>
      </w:r>
      <w:r>
        <w:rPr>
          <w:rFonts w:ascii="Times New Roman" w:cs="Times New Roman" w:eastAsia="Times New Roman" w:hAnsi="Times New Roman"/>
          <w:sz w:val="22"/>
          <w:szCs w:val="22"/>
          <w:u w:val="single" w:color="auto"/>
          <w:color w:val="auto"/>
        </w:rPr>
        <w:t>works made for hire</w:t>
      </w:r>
      <w:r>
        <w:rPr>
          <w:rFonts w:ascii="Times New Roman" w:cs="Times New Roman" w:eastAsia="Times New Roman" w:hAnsi="Times New Roman"/>
          <w:sz w:val="22"/>
          <w:szCs w:val="22"/>
          <w:color w:val="auto"/>
        </w:rPr>
        <w:t>”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183" w:lineRule="exact"/>
        <w:rPr>
          <w:sz w:val="20"/>
          <w:szCs w:val="20"/>
          <w:color w:val="auto"/>
        </w:rPr>
      </w:pPr>
    </w:p>
    <w:p>
      <w:pPr>
        <w:ind w:left="1180" w:hanging="536"/>
        <w:spacing w:after="0"/>
        <w:tabs>
          <w:tab w:leader="none" w:pos="11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292"/>
        <w:spacing w:after="0" w:line="250" w:lineRule="auto"/>
        <w:tabs>
          <w:tab w:leader="none" w:pos="1833"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 arbitration award shall be final and binding on both parties.</w:t>
      </w:r>
    </w:p>
    <w:p>
      <w:pPr>
        <w:spacing w:after="0" w:line="180"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3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under this Section 11 shall be heard by a single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xml:space="preserve">”)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parties agree that the Arbitrator and any court enforcing the award of the Arbitrator shall not have the right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award punitive or exemplary damages to any disputing party.</w:t>
      </w:r>
    </w:p>
    <w:p>
      <w:pPr>
        <w:sectPr>
          <w:pgSz w:w="11900" w:h="16838" w:orient="portrait"/>
          <w:cols w:equalWidth="0" w:num="1">
            <w:col w:w="11120"/>
          </w:cols>
          <w:pgMar w:left="440" w:top="1327" w:right="339" w:bottom="1440" w:gutter="0" w:footer="0" w:header="0"/>
        </w:sectPr>
      </w:pPr>
    </w:p>
    <w:bookmarkStart w:id="185" w:name="page186"/>
    <w:bookmarkEnd w:id="185"/>
    <w:p>
      <w:pPr>
        <w:jc w:val="both"/>
        <w:ind w:left="-644" w:firstLine="1292"/>
        <w:spacing w:after="0" w:line="257" w:lineRule="auto"/>
        <w:tabs>
          <w:tab w:leader="none" w:pos="1189"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side shall share equally the cost of the arbitration and bear its own costs and attorneys’ fees incurred in connection with any arbitration, unless the Arbitrator determines that compelling reasons exist for allocating all or a portion of such costs and fees to the other side.</w:t>
      </w:r>
    </w:p>
    <w:p>
      <w:pPr>
        <w:spacing w:after="0" w:line="186" w:lineRule="exact"/>
        <w:rPr>
          <w:rFonts w:ascii="Times New Roman" w:cs="Times New Roman" w:eastAsia="Times New Roman" w:hAnsi="Times New Roman"/>
          <w:sz w:val="22"/>
          <w:szCs w:val="22"/>
          <w:color w:val="auto"/>
        </w:rPr>
      </w:pPr>
    </w:p>
    <w:p>
      <w:pPr>
        <w:jc w:val="both"/>
        <w:ind w:left="-644" w:firstLine="1292"/>
        <w:spacing w:after="0" w:line="252" w:lineRule="auto"/>
        <w:tabs>
          <w:tab w:leader="none" w:pos="118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11(a), an application for emergency or temporary injunctive relief by either party (including any such application to enforce the provisions of Sections 8, 9, or 10 herein) shall not be subject to arbitration under this Section 11;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remainder of any such dispute (beyond the application for emergency or temporary injunctive relief) shall be subject to arbitration under this Section.</w:t>
      </w:r>
    </w:p>
    <w:p>
      <w:pPr>
        <w:spacing w:after="0" w:line="179" w:lineRule="exact"/>
        <w:rPr>
          <w:rFonts w:ascii="Times New Roman" w:cs="Times New Roman" w:eastAsia="Times New Roman" w:hAnsi="Times New Roman"/>
          <w:sz w:val="22"/>
          <w:szCs w:val="22"/>
          <w:color w:val="auto"/>
        </w:rPr>
      </w:pPr>
    </w:p>
    <w:p>
      <w:pPr>
        <w:jc w:val="both"/>
        <w:ind w:left="-644" w:firstLine="1292"/>
        <w:spacing w:after="0" w:line="263" w:lineRule="auto"/>
        <w:tabs>
          <w:tab w:leader="none" w:pos="1189"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entering into this Agreement and entering into the arbitration provisions of this Section 11, THE PARTIES EXPRESSLY ACKNOWLEDGE AND AGREE THAT THEY ARE KNOWINGLY, VOLUNTARILY, AND INTENTIONALLY WAIVING THEIR RIGHTS TO A JURY TRIAL.</w:t>
      </w:r>
    </w:p>
    <w:p>
      <w:pPr>
        <w:spacing w:after="0" w:line="167" w:lineRule="exact"/>
        <w:rPr>
          <w:rFonts w:ascii="Times New Roman" w:cs="Times New Roman" w:eastAsia="Times New Roman" w:hAnsi="Times New Roman"/>
          <w:sz w:val="22"/>
          <w:szCs w:val="22"/>
          <w:color w:val="auto"/>
        </w:rPr>
      </w:pPr>
    </w:p>
    <w:p>
      <w:pPr>
        <w:jc w:val="both"/>
        <w:ind w:left="-644" w:right="20" w:firstLine="1292"/>
        <w:spacing w:after="0" w:line="257" w:lineRule="auto"/>
        <w:tabs>
          <w:tab w:leader="none" w:pos="1192"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11 shall prohibit a party to this Agreement from (i) instituting litigation to enforce any arbitration award or (ii) joining another party to this Agreement in a litigation initiated by a person or entity that is not a party to this Agreement.</w:t>
      </w:r>
    </w:p>
    <w:p>
      <w:pPr>
        <w:spacing w:after="0" w:line="168" w:lineRule="exact"/>
        <w:rPr>
          <w:rFonts w:ascii="Times New Roman" w:cs="Times New Roman" w:eastAsia="Times New Roman" w:hAnsi="Times New Roman"/>
          <w:sz w:val="22"/>
          <w:szCs w:val="22"/>
          <w:color w:val="auto"/>
        </w:rPr>
      </w:pPr>
    </w:p>
    <w:p>
      <w:pPr>
        <w:jc w:val="both"/>
        <w:ind w:left="-644" w:firstLine="644"/>
        <w:spacing w:after="0" w:line="252" w:lineRule="auto"/>
        <w:tabs>
          <w:tab w:leader="none" w:pos="5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Executive agrees that, during the Employment Period and thereafter, upon reasonable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w:t>
      </w:r>
    </w:p>
    <w:p>
      <w:pPr>
        <w:spacing w:after="0" w:line="179" w:lineRule="exact"/>
        <w:rPr>
          <w:rFonts w:ascii="Times New Roman" w:cs="Times New Roman" w:eastAsia="Times New Roman" w:hAnsi="Times New Roman"/>
          <w:sz w:val="22"/>
          <w:szCs w:val="22"/>
          <w:color w:val="auto"/>
        </w:rPr>
      </w:pPr>
    </w:p>
    <w:p>
      <w:pPr>
        <w:jc w:val="both"/>
        <w:ind w:left="-644" w:firstLine="644"/>
        <w:spacing w:after="0" w:line="259" w:lineRule="auto"/>
        <w:tabs>
          <w:tab w:leader="none" w:pos="5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Withholdings</w:t>
      </w:r>
      <w:r>
        <w:rPr>
          <w:rFonts w:ascii="Times New Roman" w:cs="Times New Roman" w:eastAsia="Times New Roman" w:hAnsi="Times New Roman"/>
          <w:sz w:val="22"/>
          <w:szCs w:val="22"/>
          <w:color w:val="auto"/>
        </w:rPr>
        <w:t>. The Company may withhold and deduct from any payments made or to be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all federal, state, local, and other taxes as may be required pursuant to any law or governmental regulation or ruling and (b) any deductions consented to in writing by Executive.</w:t>
      </w:r>
    </w:p>
    <w:p>
      <w:pPr>
        <w:spacing w:after="0" w:line="166" w:lineRule="exact"/>
        <w:rPr>
          <w:rFonts w:ascii="Times New Roman" w:cs="Times New Roman" w:eastAsia="Times New Roman" w:hAnsi="Times New Roman"/>
          <w:sz w:val="22"/>
          <w:szCs w:val="22"/>
          <w:color w:val="auto"/>
        </w:rPr>
      </w:pPr>
    </w:p>
    <w:p>
      <w:pPr>
        <w:jc w:val="both"/>
        <w:ind w:left="-644" w:firstLine="644"/>
        <w:spacing w:after="0" w:line="249" w:lineRule="auto"/>
        <w:tabs>
          <w:tab w:leader="none" w:pos="5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w:t>
      </w:r>
    </w:p>
    <w:p>
      <w:pPr>
        <w:sectPr>
          <w:pgSz w:w="11900" w:h="16838" w:orient="portrait"/>
          <w:cols w:equalWidth="0" w:num="1">
            <w:col w:w="10476"/>
          </w:cols>
          <w:pgMar w:left="1084" w:top="1327" w:right="339" w:bottom="1440" w:gutter="0" w:footer="0" w:header="0"/>
        </w:sectPr>
      </w:pPr>
    </w:p>
    <w:bookmarkStart w:id="186" w:name="page187"/>
    <w:bookmarkEnd w:id="186"/>
    <w:p>
      <w:pPr>
        <w:jc w:val="both"/>
        <w:spacing w:after="0" w:line="257" w:lineRule="auto"/>
        <w:rPr>
          <w:sz w:val="20"/>
          <w:szCs w:val="20"/>
          <w:color w:val="auto"/>
        </w:rPr>
      </w:pPr>
      <w:r>
        <w:rPr>
          <w:rFonts w:ascii="Times New Roman" w:cs="Times New Roman" w:eastAsia="Times New Roman" w:hAnsi="Times New Roman"/>
          <w:sz w:val="22"/>
          <w:szCs w:val="22"/>
          <w:color w:val="auto"/>
        </w:rPr>
        <w:t>extent permitted by the provisions thereof. All references to “dollars” or “$” in this Agreement refer to United States dollars. Wherever the context so requires, the masculine gender includes the feminine or neuter, and the singular number includes the plural and conversely.</w:t>
      </w:r>
    </w:p>
    <w:p>
      <w:pPr>
        <w:spacing w:after="0" w:line="182" w:lineRule="exact"/>
        <w:rPr>
          <w:sz w:val="20"/>
          <w:szCs w:val="20"/>
          <w:color w:val="auto"/>
        </w:rPr>
      </w:pPr>
    </w:p>
    <w:p>
      <w:pPr>
        <w:jc w:val="both"/>
        <w:ind w:firstLine="644"/>
        <w:spacing w:after="0" w:line="251" w:lineRule="auto"/>
        <w:tabs>
          <w:tab w:leader="none" w:pos="118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Submission to Jurisdiction</w:t>
      </w:r>
      <w:r>
        <w:rPr>
          <w:rFonts w:ascii="Times New Roman" w:cs="Times New Roman" w:eastAsia="Times New Roman" w:hAnsi="Times New Roman"/>
          <w:sz w:val="22"/>
          <w:szCs w:val="22"/>
          <w:color w:val="auto"/>
        </w:rPr>
        <w:t>. This Agreement shall in all respects be construed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w:t>
      </w:r>
    </w:p>
    <w:p>
      <w:pPr>
        <w:spacing w:after="0" w:line="175"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w:t>
      </w:r>
    </w:p>
    <w:p>
      <w:pPr>
        <w:spacing w:after="0" w:line="190" w:lineRule="exact"/>
        <w:rPr>
          <w:rFonts w:ascii="Times New Roman" w:cs="Times New Roman" w:eastAsia="Times New Roman" w:hAnsi="Times New Roman"/>
          <w:sz w:val="22"/>
          <w:szCs w:val="22"/>
          <w:color w:val="auto"/>
        </w:rPr>
      </w:pPr>
    </w:p>
    <w:p>
      <w:pPr>
        <w:jc w:val="both"/>
        <w:ind w:firstLine="644"/>
        <w:spacing w:after="0" w:line="249" w:lineRule="auto"/>
        <w:tabs>
          <w:tab w:leader="none" w:pos="118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w:t>
      </w:r>
    </w:p>
    <w:p>
      <w:pPr>
        <w:spacing w:after="0" w:line="193" w:lineRule="exact"/>
        <w:rPr>
          <w:rFonts w:ascii="Times New Roman" w:cs="Times New Roman" w:eastAsia="Times New Roman" w:hAnsi="Times New Roman"/>
          <w:sz w:val="22"/>
          <w:szCs w:val="22"/>
          <w:color w:val="auto"/>
        </w:rPr>
      </w:pPr>
    </w:p>
    <w:p>
      <w:pPr>
        <w:jc w:val="both"/>
        <w:ind w:firstLine="644"/>
        <w:spacing w:after="0" w:line="264" w:lineRule="auto"/>
        <w:tabs>
          <w:tab w:leader="none" w:pos="118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Executive,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w:t>
      </w:r>
    </w:p>
    <w:p>
      <w:pPr>
        <w:spacing w:after="0" w:line="165" w:lineRule="exact"/>
        <w:rPr>
          <w:rFonts w:ascii="Times New Roman" w:cs="Times New Roman" w:eastAsia="Times New Roman" w:hAnsi="Times New Roman"/>
          <w:sz w:val="21"/>
          <w:szCs w:val="21"/>
          <w:color w:val="auto"/>
        </w:rPr>
      </w:pPr>
    </w:p>
    <w:p>
      <w:pPr>
        <w:jc w:val="both"/>
        <w:ind w:firstLine="644"/>
        <w:spacing w:after="0" w:line="259" w:lineRule="auto"/>
        <w:tabs>
          <w:tab w:leader="none" w:pos="118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Affiliates</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is defined as any person or entity Controlling,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Under Common Control with the Company.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correlative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w:t>
      </w:r>
    </w:p>
    <w:p>
      <w:pPr>
        <w:sectPr>
          <w:pgSz w:w="11900" w:h="16838" w:orient="portrait"/>
          <w:cols w:equalWidth="0" w:num="1">
            <w:col w:w="11120"/>
          </w:cols>
          <w:pgMar w:left="440" w:top="1327" w:right="339" w:bottom="1440" w:gutter="0" w:footer="0" w:header="0"/>
        </w:sectPr>
      </w:pPr>
    </w:p>
    <w:bookmarkStart w:id="187" w:name="page188"/>
    <w:bookmarkEnd w:id="187"/>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Common Control with</w:t>
      </w:r>
      <w:r>
        <w:rPr>
          <w:rFonts w:ascii="Times New Roman" w:cs="Times New Roman" w:eastAsia="Times New Roman" w:hAnsi="Times New Roman"/>
          <w:sz w:val="22"/>
          <w:szCs w:val="22"/>
          <w:color w:val="auto"/>
        </w:rPr>
        <w:t>,”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w:t>
      </w:r>
    </w:p>
    <w:p>
      <w:pPr>
        <w:spacing w:after="0" w:line="176" w:lineRule="exact"/>
        <w:rPr>
          <w:sz w:val="20"/>
          <w:szCs w:val="20"/>
          <w:color w:val="auto"/>
        </w:rPr>
      </w:pPr>
    </w:p>
    <w:p>
      <w:pPr>
        <w:jc w:val="both"/>
        <w:ind w:firstLine="644"/>
        <w:spacing w:after="0" w:line="258" w:lineRule="auto"/>
        <w:tabs>
          <w:tab w:leader="none" w:pos="118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Notices provided for in this Agreement shall be in writing and shall be deemed to have been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w:t>
      </w:r>
    </w:p>
    <w:p>
      <w:pPr>
        <w:spacing w:after="0" w:line="172" w:lineRule="exact"/>
        <w:rPr>
          <w:sz w:val="20"/>
          <w:szCs w:val="20"/>
          <w:color w:val="auto"/>
        </w:rPr>
      </w:pPr>
    </w:p>
    <w:p>
      <w:pPr>
        <w:ind w:left="1820" w:right="4640" w:hanging="528"/>
        <w:spacing w:after="0" w:line="261" w:lineRule="auto"/>
        <w:tabs>
          <w:tab w:leader="none" w:pos="184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addressed to: Aviat Networks, Inc. 200 Parker Dr. Ste 100A</w:t>
      </w:r>
    </w:p>
    <w:p>
      <w:pPr>
        <w:ind w:left="1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Austin Texas 78728</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Attention: Human Resources and Legal Departments</w:t>
      </w:r>
    </w:p>
    <w:p>
      <w:pPr>
        <w:spacing w:after="0" w:line="220" w:lineRule="exact"/>
        <w:rPr>
          <w:sz w:val="20"/>
          <w:szCs w:val="20"/>
          <w:color w:val="auto"/>
        </w:rPr>
      </w:pPr>
    </w:p>
    <w:p>
      <w:pPr>
        <w:ind w:left="1840" w:hanging="548"/>
        <w:spacing w:after="0"/>
        <w:tabs>
          <w:tab w:leader="none" w:pos="18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Executive, addressed to the most recent address the Company has in its employment records for</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205" w:lineRule="exact"/>
        <w:rPr>
          <w:rFonts w:ascii="Times New Roman" w:cs="Times New Roman" w:eastAsia="Times New Roman" w:hAnsi="Times New Roman"/>
          <w:sz w:val="22"/>
          <w:szCs w:val="22"/>
          <w:color w:val="auto"/>
        </w:rPr>
      </w:pPr>
    </w:p>
    <w:p>
      <w:pPr>
        <w:jc w:val="both"/>
        <w:ind w:firstLine="644"/>
        <w:spacing w:after="0" w:line="253" w:lineRule="auto"/>
        <w:tabs>
          <w:tab w:leader="none" w:pos="118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facsimile or “.pdf”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5" w:lineRule="exact"/>
        <w:rPr>
          <w:rFonts w:ascii="Times New Roman" w:cs="Times New Roman" w:eastAsia="Times New Roman" w:hAnsi="Times New Roman"/>
          <w:sz w:val="22"/>
          <w:szCs w:val="22"/>
          <w:color w:val="auto"/>
        </w:rPr>
      </w:pPr>
    </w:p>
    <w:p>
      <w:pPr>
        <w:jc w:val="both"/>
        <w:ind w:firstLine="644"/>
        <w:spacing w:after="0" w:line="251" w:lineRule="auto"/>
        <w:tabs>
          <w:tab w:leader="none" w:pos="118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Unless otherwise agreed to in writing by the Company and Executive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w:t>
      </w:r>
    </w:p>
    <w:p>
      <w:pPr>
        <w:spacing w:after="0" w:line="178" w:lineRule="exact"/>
        <w:rPr>
          <w:rFonts w:ascii="Times New Roman" w:cs="Times New Roman" w:eastAsia="Times New Roman" w:hAnsi="Times New Roman"/>
          <w:sz w:val="22"/>
          <w:szCs w:val="22"/>
          <w:color w:val="auto"/>
        </w:rPr>
      </w:pPr>
    </w:p>
    <w:p>
      <w:pPr>
        <w:ind w:firstLine="644"/>
        <w:spacing w:after="0" w:line="299" w:lineRule="auto"/>
        <w:tabs>
          <w:tab w:leader="none" w:pos="118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 Sections 6(f), 7-12, 22, and 24 and those provisions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 and enforce them, shall survive any termination of the employment relationship between Executive and the Company.</w:t>
      </w:r>
    </w:p>
    <w:p>
      <w:pPr>
        <w:spacing w:after="0" w:line="127" w:lineRule="exact"/>
        <w:rPr>
          <w:rFonts w:ascii="Times New Roman" w:cs="Times New Roman" w:eastAsia="Times New Roman" w:hAnsi="Times New Roman"/>
          <w:sz w:val="21"/>
          <w:szCs w:val="21"/>
          <w:color w:val="auto"/>
        </w:rPr>
      </w:pPr>
    </w:p>
    <w:p>
      <w:pPr>
        <w:ind w:firstLine="644"/>
        <w:spacing w:after="0" w:line="275" w:lineRule="auto"/>
        <w:tabs>
          <w:tab w:leader="none" w:pos="118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Affiliate of the Company shall be a third-party beneficiary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Sections 7, 8, 9, 10, and 22 and shall be entitled to enforce such obligations as if a party hereto.</w:t>
      </w:r>
    </w:p>
    <w:p>
      <w:pPr>
        <w:sectPr>
          <w:pgSz w:w="11900" w:h="16838" w:orient="portrait"/>
          <w:cols w:equalWidth="0" w:num="1">
            <w:col w:w="11120"/>
          </w:cols>
          <w:pgMar w:left="440" w:top="1327" w:right="339" w:bottom="1440" w:gutter="0" w:footer="0" w:header="0"/>
        </w:sectPr>
      </w:pPr>
    </w:p>
    <w:bookmarkStart w:id="188" w:name="page189"/>
    <w:bookmarkEnd w:id="188"/>
    <w:p>
      <w:pPr>
        <w:jc w:val="both"/>
        <w:ind w:left="-644" w:firstLine="644"/>
        <w:spacing w:after="0" w:line="258" w:lineRule="auto"/>
        <w:tabs>
          <w:tab w:leader="none" w:pos="5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Subject to Section 9(e), if an arbitrator or court of competent jurisdiction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w:t>
      </w:r>
    </w:p>
    <w:p>
      <w:pPr>
        <w:spacing w:after="0" w:line="167" w:lineRule="exact"/>
        <w:rPr>
          <w:rFonts w:ascii="Times New Roman" w:cs="Times New Roman" w:eastAsia="Times New Roman" w:hAnsi="Times New Roman"/>
          <w:sz w:val="22"/>
          <w:szCs w:val="22"/>
          <w:color w:val="auto"/>
        </w:rPr>
      </w:pPr>
    </w:p>
    <w:p>
      <w:pPr>
        <w:jc w:val="both"/>
        <w:ind w:left="-644" w:firstLine="644"/>
        <w:spacing w:after="0" w:line="260" w:lineRule="auto"/>
        <w:tabs>
          <w:tab w:leader="none" w:pos="54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Notwithstanding any provision of this Agreement to the contrary, all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intended to comply with Section 409A of the Code, and the applicable Treasury regulations and administrative guidance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w:t>
      </w:r>
      <w:r>
        <w:rPr>
          <w:rFonts w:ascii="Times New Roman" w:cs="Times New Roman" w:eastAsia="Times New Roman" w:hAnsi="Times New Roman"/>
          <w:sz w:val="21"/>
          <w:szCs w:val="2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w:t>
      </w:r>
    </w:p>
    <w:p>
      <w:pPr>
        <w:spacing w:after="0" w:line="171" w:lineRule="exact"/>
        <w:rPr>
          <w:rFonts w:ascii="Times New Roman" w:cs="Times New Roman" w:eastAsia="Times New Roman" w:hAnsi="Times New Roman"/>
          <w:sz w:val="21"/>
          <w:szCs w:val="21"/>
          <w:color w:val="auto"/>
        </w:rPr>
      </w:pPr>
    </w:p>
    <w:p>
      <w:pPr>
        <w:jc w:val="both"/>
        <w:ind w:left="-644" w:firstLine="644"/>
        <w:spacing w:after="0" w:line="251" w:lineRule="auto"/>
        <w:tabs>
          <w:tab w:leader="none" w:pos="5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To the extent required by Company policy, applicable law, government regulation, or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w:t>
      </w:r>
    </w:p>
    <w:p>
      <w:pPr>
        <w:spacing w:after="0" w:line="178" w:lineRule="exact"/>
        <w:rPr>
          <w:rFonts w:ascii="Times New Roman" w:cs="Times New Roman" w:eastAsia="Times New Roman" w:hAnsi="Times New Roman"/>
          <w:sz w:val="22"/>
          <w:szCs w:val="22"/>
          <w:color w:val="auto"/>
        </w:rPr>
      </w:pPr>
    </w:p>
    <w:p>
      <w:pPr>
        <w:jc w:val="both"/>
        <w:ind w:left="-644" w:firstLine="644"/>
        <w:spacing w:after="0" w:line="248" w:lineRule="auto"/>
        <w:tabs>
          <w:tab w:leader="none" w:pos="5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this Agreement, if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w:t>
      </w:r>
    </w:p>
    <w:p>
      <w:pPr>
        <w:sectPr>
          <w:pgSz w:w="11900" w:h="16838" w:orient="portrait"/>
          <w:cols w:equalWidth="0" w:num="1">
            <w:col w:w="10476"/>
          </w:cols>
          <w:pgMar w:left="1084" w:top="1323" w:right="339" w:bottom="1440" w:gutter="0" w:footer="0" w:header="0"/>
        </w:sectPr>
      </w:pPr>
    </w:p>
    <w:bookmarkStart w:id="189" w:name="page190"/>
    <w:bookmarkEnd w:id="189"/>
    <w:p>
      <w:pPr>
        <w:jc w:val="both"/>
        <w:spacing w:after="0" w:line="247" w:lineRule="auto"/>
        <w:rPr>
          <w:sz w:val="20"/>
          <w:szCs w:val="20"/>
          <w:color w:val="auto"/>
        </w:rPr>
      </w:pPr>
      <w:r>
        <w:rPr>
          <w:rFonts w:ascii="Times New Roman" w:cs="Times New Roman" w:eastAsia="Times New Roman" w:hAnsi="Times New Roman"/>
          <w:sz w:val="22"/>
          <w:szCs w:val="22"/>
          <w:color w:val="auto"/>
        </w:rPr>
        <w:t>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was left blank intentionally; the signature page follows.</w:t>
      </w:r>
      <w:r>
        <w:rPr>
          <w:rFonts w:ascii="Times New Roman" w:cs="Times New Roman" w:eastAsia="Times New Roman" w:hAnsi="Times New Roman"/>
          <w:sz w:val="22"/>
          <w:szCs w:val="22"/>
          <w:color w:val="auto"/>
        </w:rPr>
        <w:t>]</w:t>
      </w:r>
    </w:p>
    <w:p>
      <w:pPr>
        <w:sectPr>
          <w:pgSz w:w="11900" w:h="16838" w:orient="portrait"/>
          <w:cols w:equalWidth="0" w:num="1">
            <w:col w:w="11120"/>
          </w:cols>
          <w:pgMar w:left="440" w:top="1327" w:right="339" w:bottom="1440" w:gutter="0" w:footer="0" w:header="0"/>
        </w:sectPr>
      </w:pPr>
    </w:p>
    <w:bookmarkStart w:id="190" w:name="page191"/>
    <w:bookmarkEnd w:id="190"/>
    <w:p>
      <w:pPr>
        <w:spacing w:after="0" w:line="11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Executive and the Company each have caused this Agreement to be executed in its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its behalf, effective for all purposes as provided above.</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Michael Connaway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Michael Connaway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Peter A. Smith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Peter A. Smith</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President, CEO</w:t>
      </w:r>
    </w:p>
    <w:p>
      <w:pPr>
        <w:sectPr>
          <w:pgSz w:w="11900" w:h="16838" w:orient="portrait"/>
          <w:cols w:equalWidth="0" w:num="1">
            <w:col w:w="11240"/>
          </w:cols>
          <w:pgMar w:left="320"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35"/>
          <w:szCs w:val="35"/>
          <w:color w:val="auto"/>
        </w:rPr>
        <w:t>INSIDER TRADING POLICY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Issue date August 2023</w:t>
      </w:r>
    </w:p>
    <w:p>
      <w:pPr>
        <w:sectPr>
          <w:pgSz w:w="11900" w:h="16838" w:orient="portrait"/>
          <w:cols w:equalWidth="0" w:num="1">
            <w:col w:w="10139"/>
          </w:cols>
          <w:pgMar w:left="320" w:top="1087" w:right="1440" w:bottom="1440" w:gutter="0" w:footer="0" w:header="0"/>
        </w:sectPr>
      </w:pPr>
    </w:p>
    <w:bookmarkStart w:id="192" w:name="page193"/>
    <w:bookmarkEnd w:id="192"/>
    <w:p>
      <w:pPr>
        <w:ind w:left="640" w:hanging="632"/>
        <w:spacing w:after="0"/>
        <w:tabs>
          <w:tab w:leader="none" w:pos="640" w:val="left"/>
        </w:tabs>
        <w:numPr>
          <w:ilvl w:val="0"/>
          <w:numId w:val="199"/>
        </w:numPr>
        <w:rPr>
          <w:rFonts w:ascii="Arial" w:cs="Arial" w:eastAsia="Arial" w:hAnsi="Arial"/>
          <w:sz w:val="25"/>
          <w:szCs w:val="25"/>
          <w:b w:val="1"/>
          <w:bCs w:val="1"/>
          <w:color w:val="auto"/>
        </w:rPr>
      </w:pPr>
      <w:r>
        <w:rPr>
          <w:rFonts w:ascii="Arial" w:cs="Arial" w:eastAsia="Arial" w:hAnsi="Arial"/>
          <w:sz w:val="25"/>
          <w:szCs w:val="25"/>
          <w:b w:val="1"/>
          <w:bCs w:val="1"/>
          <w:color w:val="auto"/>
        </w:rPr>
        <w:t>PURPOSE</w:t>
      </w:r>
    </w:p>
    <w:p>
      <w:pPr>
        <w:spacing w:after="0" w:line="30" w:lineRule="exact"/>
        <w:rPr>
          <w:sz w:val="20"/>
          <w:szCs w:val="20"/>
          <w:color w:val="auto"/>
        </w:rPr>
      </w:pPr>
    </w:p>
    <w:p>
      <w:pPr>
        <w:jc w:val="both"/>
        <w:ind w:left="780"/>
        <w:spacing w:after="0" w:line="252" w:lineRule="auto"/>
        <w:rPr>
          <w:sz w:val="20"/>
          <w:szCs w:val="20"/>
          <w:color w:val="auto"/>
        </w:rPr>
      </w:pPr>
      <w:r>
        <w:rPr>
          <w:rFonts w:ascii="Arial" w:cs="Arial" w:eastAsia="Arial" w:hAnsi="Arial"/>
          <w:sz w:val="20"/>
          <w:szCs w:val="20"/>
          <w:color w:val="auto"/>
        </w:rPr>
        <w:t>Aviat Networks, Inc.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the policies and procedures described in this Insider Trading Policy Statement (this “</w:t>
      </w:r>
      <w:r>
        <w:rPr>
          <w:rFonts w:ascii="Arial" w:cs="Arial" w:eastAsia="Arial" w:hAnsi="Arial"/>
          <w:sz w:val="20"/>
          <w:szCs w:val="20"/>
          <w:b w:val="1"/>
          <w:bCs w:val="1"/>
          <w:color w:val="auto"/>
        </w:rPr>
        <w:t>policy statement</w:t>
      </w:r>
      <w:r>
        <w:rPr>
          <w:rFonts w:ascii="Arial" w:cs="Arial" w:eastAsia="Arial" w:hAnsi="Arial"/>
          <w:sz w:val="20"/>
          <w:szCs w:val="20"/>
          <w:color w:val="auto"/>
        </w:rPr>
        <w:t xml:space="preserve">”) to provide guidance to the Company’s officers, directors, employees, consultants and other related individuals with respect to transactions in the Company’s securities (such as common stock, options to buy or sell common stock, warrants, convertible securities and debt securities) and derivative securities relating to the Company’s common stock, whether or not issued by the Company (such as exchange-traded options) for the purpose of promoting compliance with applicable securities laws. </w:t>
      </w:r>
      <w:r>
        <w:rPr>
          <w:rFonts w:ascii="Arial" w:cs="Arial" w:eastAsia="Arial" w:hAnsi="Arial"/>
          <w:sz w:val="20"/>
          <w:szCs w:val="20"/>
          <w:b w:val="1"/>
          <w:bCs w:val="1"/>
          <w:color w:val="auto"/>
        </w:rPr>
        <w:t>This document states a policy of the Company</w:t>
      </w:r>
      <w:r>
        <w:rPr>
          <w:rFonts w:ascii="Arial" w:cs="Arial" w:eastAsia="Arial" w:hAnsi="Arial"/>
          <w:sz w:val="20"/>
          <w:szCs w:val="20"/>
          <w:color w:val="auto"/>
        </w:rPr>
        <w:t xml:space="preserve"> </w:t>
      </w:r>
      <w:r>
        <w:rPr>
          <w:rFonts w:ascii="Arial" w:cs="Arial" w:eastAsia="Arial" w:hAnsi="Arial"/>
          <w:sz w:val="20"/>
          <w:szCs w:val="20"/>
          <w:b w:val="1"/>
          <w:bCs w:val="1"/>
          <w:color w:val="auto"/>
        </w:rPr>
        <w:t>and is not intended to be regarded as legal advice.</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Adoption of Insider Trading Policy Statement</w:t>
      </w:r>
      <w:r>
        <w:rPr>
          <w:rFonts w:ascii="Arial" w:cs="Arial" w:eastAsia="Arial" w:hAnsi="Arial"/>
          <w:sz w:val="20"/>
          <w:szCs w:val="20"/>
          <w:color w:val="auto"/>
        </w:rPr>
        <w:t>.</w:t>
      </w:r>
    </w:p>
    <w:p>
      <w:pPr>
        <w:spacing w:after="0" w:line="216" w:lineRule="exact"/>
        <w:rPr>
          <w:sz w:val="20"/>
          <w:szCs w:val="20"/>
          <w:color w:val="auto"/>
        </w:rPr>
      </w:pPr>
    </w:p>
    <w:p>
      <w:pPr>
        <w:jc w:val="both"/>
        <w:ind w:left="780"/>
        <w:spacing w:after="0" w:line="252" w:lineRule="auto"/>
        <w:rPr>
          <w:sz w:val="20"/>
          <w:szCs w:val="20"/>
          <w:color w:val="auto"/>
        </w:rPr>
      </w:pPr>
      <w:r>
        <w:rPr>
          <w:rFonts w:ascii="Arial" w:cs="Arial" w:eastAsia="Arial" w:hAnsi="Arial"/>
          <w:sz w:val="20"/>
          <w:szCs w:val="20"/>
          <w:color w:val="auto"/>
        </w:rPr>
        <w:t>The Company has adopted this policy statement, which prohibits transacting in Company securities based on material, nonpublic information regarding the Company. The policy statement covers all officers, directors and employees of the Company. Any restrictions that apply to an officer, director, employee or other person covered by this policy statement will also apply to (1) family members who reside with such individual, (2) any other persons who live in such individual’s household, (3) family members who do not live in such individual’s household but whose transactions in Company securities are directed by the individual or are subject to the individual’s control or influence (such as parents or children who consult with the individual prior to transacting in Company securities) and (4) partnerships, trusts, estates and other legal entities controlled by such individual (collectively, “</w:t>
      </w:r>
      <w:r>
        <w:rPr>
          <w:rFonts w:ascii="Arial" w:cs="Arial" w:eastAsia="Arial" w:hAnsi="Arial"/>
          <w:sz w:val="20"/>
          <w:szCs w:val="20"/>
          <w:b w:val="1"/>
          <w:bCs w:val="1"/>
          <w:color w:val="auto"/>
        </w:rPr>
        <w:t>family members and affiliated entities</w:t>
      </w:r>
      <w:r>
        <w:rPr>
          <w:rFonts w:ascii="Arial" w:cs="Arial" w:eastAsia="Arial" w:hAnsi="Arial"/>
          <w:sz w:val="20"/>
          <w:szCs w:val="20"/>
          <w:color w:val="auto"/>
        </w:rPr>
        <w:t>”). The policy statement also covers other persons such as contractors or consultants who have or may have access to material, nonpublic information regarding the Company from time to time. The people to whom this policy statement applies are referred to in this policy statement as “</w:t>
      </w:r>
      <w:r>
        <w:rPr>
          <w:rFonts w:ascii="Arial" w:cs="Arial" w:eastAsia="Arial" w:hAnsi="Arial"/>
          <w:sz w:val="20"/>
          <w:szCs w:val="20"/>
          <w:b w:val="1"/>
          <w:bCs w:val="1"/>
          <w:color w:val="auto"/>
        </w:rPr>
        <w:t>insiders.</w:t>
      </w:r>
      <w:r>
        <w:rPr>
          <w:rFonts w:ascii="Arial" w:cs="Arial" w:eastAsia="Arial" w:hAnsi="Arial"/>
          <w:sz w:val="20"/>
          <w:szCs w:val="20"/>
          <w:color w:val="auto"/>
        </w:rPr>
        <w:t>”</w:t>
      </w:r>
    </w:p>
    <w:p>
      <w:pPr>
        <w:spacing w:after="0" w:line="179" w:lineRule="exact"/>
        <w:rPr>
          <w:sz w:val="20"/>
          <w:szCs w:val="20"/>
          <w:color w:val="auto"/>
        </w:rPr>
      </w:pPr>
    </w:p>
    <w:p>
      <w:pPr>
        <w:jc w:val="both"/>
        <w:ind w:left="780"/>
        <w:spacing w:after="0" w:line="271" w:lineRule="auto"/>
        <w:rPr>
          <w:sz w:val="20"/>
          <w:szCs w:val="20"/>
          <w:color w:val="auto"/>
        </w:rPr>
      </w:pPr>
      <w:r>
        <w:rPr>
          <w:rFonts w:ascii="Arial" w:cs="Arial" w:eastAsia="Arial" w:hAnsi="Arial"/>
          <w:sz w:val="20"/>
          <w:szCs w:val="20"/>
          <w:color w:val="auto"/>
        </w:rPr>
        <w:t>The policy statement is to be circulated to all officers, directors and employees at the time of its adoption and shall be delivered to all new officers, directors and employees on the commencement of their relationships with the Company.</w:t>
      </w:r>
    </w:p>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200"/>
        </w:numPr>
        <w:rPr>
          <w:rFonts w:ascii="Arial" w:cs="Arial" w:eastAsia="Arial" w:hAnsi="Arial"/>
          <w:sz w:val="25"/>
          <w:szCs w:val="25"/>
          <w:b w:val="1"/>
          <w:bCs w:val="1"/>
          <w:color w:val="auto"/>
        </w:rPr>
      </w:pPr>
      <w:r>
        <w:rPr>
          <w:rFonts w:ascii="Arial" w:cs="Arial" w:eastAsia="Arial" w:hAnsi="Arial"/>
          <w:sz w:val="25"/>
          <w:szCs w:val="25"/>
          <w:b w:val="1"/>
          <w:bCs w:val="1"/>
          <w:color w:val="auto"/>
        </w:rPr>
        <w:t>SCOPE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Designation of Certain Persons</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0"/>
          <w:szCs w:val="20"/>
          <w:u w:val="single" w:color="auto"/>
          <w:color w:val="auto"/>
        </w:rPr>
        <w:t>Section 16 Individuals</w:t>
      </w:r>
      <w:r>
        <w:rPr>
          <w:rFonts w:ascii="Arial" w:cs="Arial" w:eastAsia="Arial" w:hAnsi="Arial"/>
          <w:sz w:val="20"/>
          <w:szCs w:val="20"/>
          <w:color w:val="auto"/>
        </w:rPr>
        <w:t>. The Company has determined that certain of its directors and executive officers are subject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reporting and penalty provisions of Section 16 of the Securities Exchange Act of 1934, as amended (the “</w:t>
      </w:r>
      <w:r>
        <w:rPr>
          <w:rFonts w:ascii="Arial" w:cs="Arial" w:eastAsia="Arial" w:hAnsi="Arial"/>
          <w:sz w:val="20"/>
          <w:szCs w:val="20"/>
          <w:b w:val="1"/>
          <w:bCs w:val="1"/>
          <w:color w:val="auto"/>
        </w:rPr>
        <w:t>Exchange</w:t>
      </w:r>
      <w:r>
        <w:rPr>
          <w:rFonts w:ascii="Arial" w:cs="Arial" w:eastAsia="Arial" w:hAnsi="Arial"/>
          <w:sz w:val="20"/>
          <w:szCs w:val="20"/>
          <w:color w:val="auto"/>
        </w:rPr>
        <w:t xml:space="preserve"> </w:t>
      </w:r>
      <w:r>
        <w:rPr>
          <w:rFonts w:ascii="Arial" w:cs="Arial" w:eastAsia="Arial" w:hAnsi="Arial"/>
          <w:sz w:val="20"/>
          <w:szCs w:val="20"/>
          <w:b w:val="1"/>
          <w:bCs w:val="1"/>
          <w:color w:val="auto"/>
        </w:rPr>
        <w:t>Act</w:t>
      </w:r>
      <w:r>
        <w:rPr>
          <w:rFonts w:ascii="Arial" w:cs="Arial" w:eastAsia="Arial" w:hAnsi="Arial"/>
          <w:sz w:val="20"/>
          <w:szCs w:val="20"/>
          <w:color w:val="auto"/>
        </w:rPr>
        <w:t>”), and the rules and regulations promulgated thereunder (the “</w:t>
      </w:r>
      <w:r>
        <w:rPr>
          <w:rFonts w:ascii="Arial" w:cs="Arial" w:eastAsia="Arial" w:hAnsi="Arial"/>
          <w:sz w:val="20"/>
          <w:szCs w:val="20"/>
          <w:b w:val="1"/>
          <w:bCs w:val="1"/>
          <w:color w:val="auto"/>
        </w:rPr>
        <w:t>Section 16 Individuals</w:t>
      </w:r>
      <w:r>
        <w:rPr>
          <w:rFonts w:ascii="Arial" w:cs="Arial" w:eastAsia="Arial" w:hAnsi="Arial"/>
          <w:sz w:val="20"/>
          <w:szCs w:val="20"/>
          <w:color w:val="auto"/>
        </w:rPr>
        <w:t>”). The list of Section 16</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Individuals will be modified by the Company from time to time to reflect the election of new executive officers or directors, any change in function of current executive officers and the resignation or departure of current executive officers and directors. Section 16 Individuals are subject to special restrictions and procedures under the policy statement, including the mandatory pre-clearance requirement described in Section 5, subsection 3.2.</w:t>
      </w:r>
    </w:p>
    <w:p>
      <w:pPr>
        <w:spacing w:after="0" w:line="22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0"/>
          <w:szCs w:val="20"/>
          <w:u w:val="single" w:color="auto"/>
          <w:color w:val="auto"/>
        </w:rPr>
        <w:t>Other Restricted Persons</w:t>
      </w:r>
      <w:r>
        <w:rPr>
          <w:rFonts w:ascii="Arial" w:cs="Arial" w:eastAsia="Arial" w:hAnsi="Arial"/>
          <w:sz w:val="20"/>
          <w:szCs w:val="20"/>
          <w:color w:val="auto"/>
        </w:rPr>
        <w:t>. The Company may determine from time to time that other persons (in addition to the Section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16 Individuals) are subject to the mandatory pre-clearance requirement described in Section 5, subsection 3.2, if the Company believes that, in the normal course of their duties, such persons have, or are likely to have, regular access to material, nonpublic</w:t>
      </w:r>
    </w:p>
    <w:p>
      <w:pPr>
        <w:sectPr>
          <w:pgSz w:w="11900" w:h="16838" w:orient="portrait"/>
          <w:cols w:equalWidth="0" w:num="1">
            <w:col w:w="11240"/>
          </w:cols>
          <w:pgMar w:left="320" w:top="1168" w:right="339" w:bottom="1440" w:gutter="0" w:footer="0" w:header="0"/>
        </w:sectPr>
      </w:pPr>
    </w:p>
    <w:bookmarkStart w:id="193" w:name="page194"/>
    <w:bookmarkEnd w:id="193"/>
    <w:p>
      <w:pPr>
        <w:jc w:val="both"/>
        <w:ind w:left="660"/>
        <w:spacing w:after="0" w:line="262" w:lineRule="auto"/>
        <w:rPr>
          <w:sz w:val="20"/>
          <w:szCs w:val="20"/>
          <w:color w:val="auto"/>
        </w:rPr>
      </w:pPr>
      <w:r>
        <w:rPr>
          <w:rFonts w:ascii="Arial" w:cs="Arial" w:eastAsia="Arial" w:hAnsi="Arial"/>
          <w:sz w:val="20"/>
          <w:szCs w:val="20"/>
          <w:color w:val="auto"/>
        </w:rPr>
        <w:t>information regarding the Company. In addition, under special circumstances, other persons may come to have access to material, nonpublic information regarding the Company for a limited period of time. During such period, such persons shall also be subject to the mandatory pre-clearance procedure described in Section 5, subsection 3.2.</w:t>
      </w:r>
    </w:p>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201"/>
        </w:numPr>
        <w:rPr>
          <w:rFonts w:ascii="Arial" w:cs="Arial" w:eastAsia="Arial" w:hAnsi="Arial"/>
          <w:sz w:val="25"/>
          <w:szCs w:val="25"/>
          <w:b w:val="1"/>
          <w:bCs w:val="1"/>
          <w:color w:val="auto"/>
        </w:rPr>
      </w:pPr>
      <w:r>
        <w:rPr>
          <w:rFonts w:ascii="Arial" w:cs="Arial" w:eastAsia="Arial" w:hAnsi="Arial"/>
          <w:sz w:val="25"/>
          <w:szCs w:val="25"/>
          <w:b w:val="1"/>
          <w:bCs w:val="1"/>
          <w:color w:val="auto"/>
        </w:rPr>
        <w:t>APPOINTMENT OF INSIDER TRADING COMPLIANCE OFFICER</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CEO is responsible for appointing the Company’s Insider Trading Compliance Officer, who is authorized to perform all of the duties of the Insider Trading Compliance Officer as set forth herein.</w:t>
      </w:r>
    </w:p>
    <w:p>
      <w:pPr>
        <w:spacing w:after="0" w:line="200" w:lineRule="exact"/>
        <w:rPr>
          <w:sz w:val="20"/>
          <w:szCs w:val="20"/>
          <w:color w:val="auto"/>
        </w:rPr>
      </w:pPr>
    </w:p>
    <w:p>
      <w:pPr>
        <w:spacing w:after="0" w:line="217" w:lineRule="exact"/>
        <w:rPr>
          <w:sz w:val="20"/>
          <w:szCs w:val="20"/>
          <w:color w:val="auto"/>
        </w:rPr>
      </w:pPr>
    </w:p>
    <w:p>
      <w:pPr>
        <w:ind w:left="640" w:hanging="632"/>
        <w:spacing w:after="0"/>
        <w:tabs>
          <w:tab w:leader="none" w:pos="640" w:val="left"/>
        </w:tabs>
        <w:numPr>
          <w:ilvl w:val="0"/>
          <w:numId w:val="202"/>
        </w:numPr>
        <w:rPr>
          <w:rFonts w:ascii="Arial" w:cs="Arial" w:eastAsia="Arial" w:hAnsi="Arial"/>
          <w:sz w:val="25"/>
          <w:szCs w:val="25"/>
          <w:b w:val="1"/>
          <w:bCs w:val="1"/>
          <w:color w:val="auto"/>
        </w:rPr>
      </w:pPr>
      <w:r>
        <w:rPr>
          <w:rFonts w:ascii="Arial" w:cs="Arial" w:eastAsia="Arial" w:hAnsi="Arial"/>
          <w:sz w:val="22"/>
          <w:szCs w:val="22"/>
          <w:b w:val="1"/>
          <w:bCs w:val="1"/>
          <w:color w:val="auto"/>
        </w:rPr>
        <w:t>INSIDER TRADING AND CONFIDENTIALITY POLICY STATEMENT</w:t>
      </w:r>
    </w:p>
    <w:p>
      <w:pPr>
        <w:spacing w:after="0" w:line="232" w:lineRule="exact"/>
        <w:rPr>
          <w:sz w:val="20"/>
          <w:szCs w:val="20"/>
          <w:color w:val="auto"/>
        </w:rPr>
      </w:pPr>
    </w:p>
    <w:p>
      <w:pPr>
        <w:ind w:left="640" w:hanging="632"/>
        <w:spacing w:after="0"/>
        <w:tabs>
          <w:tab w:leader="none" w:pos="640" w:val="left"/>
        </w:tabs>
        <w:numPr>
          <w:ilvl w:val="0"/>
          <w:numId w:val="203"/>
        </w:numPr>
        <w:rPr>
          <w:rFonts w:ascii="Arial" w:cs="Arial" w:eastAsia="Arial" w:hAnsi="Arial"/>
          <w:sz w:val="22"/>
          <w:szCs w:val="22"/>
          <w:color w:val="auto"/>
        </w:rPr>
      </w:pPr>
      <w:r>
        <w:rPr>
          <w:rFonts w:ascii="Arial" w:cs="Arial" w:eastAsia="Arial" w:hAnsi="Arial"/>
          <w:sz w:val="20"/>
          <w:szCs w:val="20"/>
          <w:u w:val="single" w:color="auto"/>
          <w:color w:val="auto"/>
        </w:rPr>
        <w:t>Prohibition Against Transacting on Material Nonpublic Information – “Insider Trading”</w:t>
      </w:r>
    </w:p>
    <w:p>
      <w:pPr>
        <w:spacing w:after="0" w:line="192" w:lineRule="exact"/>
        <w:rPr>
          <w:rFonts w:ascii="Arial" w:cs="Arial" w:eastAsia="Arial" w:hAnsi="Arial"/>
          <w:sz w:val="22"/>
          <w:szCs w:val="22"/>
          <w:color w:val="auto"/>
        </w:rPr>
      </w:pPr>
    </w:p>
    <w:p>
      <w:pPr>
        <w:jc w:val="both"/>
        <w:ind w:left="660"/>
        <w:spacing w:after="0" w:line="275" w:lineRule="auto"/>
        <w:rPr>
          <w:rFonts w:ascii="Arial" w:cs="Arial" w:eastAsia="Arial" w:hAnsi="Arial"/>
          <w:sz w:val="22"/>
          <w:szCs w:val="22"/>
          <w:color w:val="auto"/>
        </w:rPr>
      </w:pPr>
      <w:r>
        <w:rPr>
          <w:rFonts w:ascii="Arial" w:cs="Arial" w:eastAsia="Arial" w:hAnsi="Arial"/>
          <w:sz w:val="20"/>
          <w:szCs w:val="20"/>
          <w:color w:val="auto"/>
        </w:rPr>
        <w:t>Except as indicated in this policy statement, an insider should not buy, sell, give gifts of or otherwise transact in securities of the Company while in possession of material, nonpublic information about the Company (see below for definition of “</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w:t>
      </w:r>
    </w:p>
    <w:p>
      <w:pPr>
        <w:spacing w:after="0" w:line="140" w:lineRule="exact"/>
        <w:rPr>
          <w:rFonts w:ascii="Arial" w:cs="Arial" w:eastAsia="Arial" w:hAnsi="Arial"/>
          <w:sz w:val="22"/>
          <w:szCs w:val="22"/>
          <w:color w:val="auto"/>
        </w:rPr>
      </w:pPr>
    </w:p>
    <w:p>
      <w:pPr>
        <w:jc w:val="both"/>
        <w:ind w:left="660"/>
        <w:spacing w:after="0" w:line="254" w:lineRule="auto"/>
        <w:rPr>
          <w:rFonts w:ascii="Arial" w:cs="Arial" w:eastAsia="Arial" w:hAnsi="Arial"/>
          <w:sz w:val="22"/>
          <w:szCs w:val="22"/>
          <w:color w:val="auto"/>
        </w:rPr>
      </w:pPr>
      <w:r>
        <w:rPr>
          <w:rFonts w:ascii="Arial" w:cs="Arial" w:eastAsia="Arial" w:hAnsi="Arial"/>
          <w:sz w:val="20"/>
          <w:szCs w:val="20"/>
          <w:color w:val="auto"/>
        </w:rPr>
        <w:t>No insider shall disclose or tip, either directly or indirectly, material, nonpublic information about the Company with others who may then use such information to transact in the Company’s securities. No insider shall make recommendations, either directly or indirectly, or express opinions on the basis of material, nonpublic information about the Company as to transacting in the Company’s securities. Insiders are not authorized to recommend transactions in the Company’s securities to any other person regardless of whether the insider is aware of material, nonpublic information about the Company.</w:t>
      </w:r>
    </w:p>
    <w:p>
      <w:pPr>
        <w:spacing w:after="0" w:line="186" w:lineRule="exact"/>
        <w:rPr>
          <w:rFonts w:ascii="Arial" w:cs="Arial" w:eastAsia="Arial" w:hAnsi="Arial"/>
          <w:sz w:val="22"/>
          <w:szCs w:val="22"/>
          <w:color w:val="auto"/>
        </w:rPr>
      </w:pPr>
    </w:p>
    <w:p>
      <w:pPr>
        <w:jc w:val="both"/>
        <w:ind w:left="660"/>
        <w:spacing w:after="0" w:line="254" w:lineRule="auto"/>
        <w:rPr>
          <w:rFonts w:ascii="Arial" w:cs="Arial" w:eastAsia="Arial" w:hAnsi="Arial"/>
          <w:sz w:val="22"/>
          <w:szCs w:val="22"/>
          <w:color w:val="auto"/>
        </w:rPr>
      </w:pPr>
      <w:r>
        <w:rPr>
          <w:rFonts w:ascii="Arial" w:cs="Arial" w:eastAsia="Arial" w:hAnsi="Arial"/>
          <w:sz w:val="20"/>
          <w:szCs w:val="20"/>
          <w:color w:val="auto"/>
        </w:rPr>
        <w:t>Insiders may be subject to criminal prosecution and/or civil liability for transacting (which includes purchasing, selling, and giving gifts) in the Company’s securities when they know material information concerning the Company that has not been fully disclosed to the public. Employees of the Company who violate this policy statement may also be subject to disciplinary action by the Company, which may include ineligibility for future participation in the Company’s equity incentive plans or termination of employment.</w:t>
      </w:r>
    </w:p>
    <w:p>
      <w:pPr>
        <w:spacing w:after="0" w:line="187" w:lineRule="exact"/>
        <w:rPr>
          <w:rFonts w:ascii="Arial" w:cs="Arial" w:eastAsia="Arial" w:hAnsi="Arial"/>
          <w:sz w:val="22"/>
          <w:szCs w:val="22"/>
          <w:color w:val="auto"/>
        </w:rPr>
      </w:pPr>
    </w:p>
    <w:p>
      <w:pPr>
        <w:jc w:val="both"/>
        <w:ind w:left="660"/>
        <w:spacing w:after="0" w:line="262" w:lineRule="auto"/>
        <w:rPr>
          <w:rFonts w:ascii="Arial" w:cs="Arial" w:eastAsia="Arial" w:hAnsi="Arial"/>
          <w:sz w:val="22"/>
          <w:szCs w:val="22"/>
          <w:color w:val="auto"/>
        </w:rPr>
      </w:pPr>
      <w:r>
        <w:rPr>
          <w:rFonts w:ascii="Arial" w:cs="Arial" w:eastAsia="Arial" w:hAnsi="Arial"/>
          <w:sz w:val="20"/>
          <w:szCs w:val="20"/>
          <w:color w:val="auto"/>
        </w:rPr>
        <w:t>It is also the policy of the Company that the Company will not engage in transactions in the Company’s equity securities (as defined in the Exchange Act) while aware of material, nonpublic information relating to the Company or its securities, except for:</w:t>
      </w:r>
    </w:p>
    <w:p>
      <w:pPr>
        <w:spacing w:after="0" w:line="164" w:lineRule="exact"/>
        <w:rPr>
          <w:rFonts w:ascii="Arial" w:cs="Arial" w:eastAsia="Arial" w:hAnsi="Arial"/>
          <w:sz w:val="22"/>
          <w:szCs w:val="22"/>
          <w:color w:val="auto"/>
        </w:rPr>
      </w:pPr>
    </w:p>
    <w:p>
      <w:pPr>
        <w:ind w:left="1300" w:hanging="644"/>
        <w:spacing w:after="0" w:line="285" w:lineRule="auto"/>
        <w:tabs>
          <w:tab w:leader="none" w:pos="1288" w:val="left"/>
        </w:tabs>
        <w:numPr>
          <w:ilvl w:val="1"/>
          <w:numId w:val="203"/>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plan participants (or their permitted assignees) pursuant to an equity-based compensation plan of the Company;</w:t>
      </w:r>
    </w:p>
    <w:p>
      <w:pPr>
        <w:spacing w:after="0" w:line="154"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8" w:val="left"/>
        </w:tabs>
        <w:numPr>
          <w:ilvl w:val="1"/>
          <w:numId w:val="203"/>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p>
      <w:pPr>
        <w:spacing w:after="0" w:line="186" w:lineRule="exact"/>
        <w:rPr>
          <w:rFonts w:ascii="Times New Roman" w:cs="Times New Roman" w:eastAsia="Times New Roman" w:hAnsi="Times New Roman"/>
          <w:sz w:val="20"/>
          <w:szCs w:val="20"/>
          <w:color w:val="auto"/>
        </w:rPr>
      </w:pPr>
    </w:p>
    <w:p>
      <w:pPr>
        <w:ind w:left="1300" w:hanging="644"/>
        <w:spacing w:after="0" w:line="285" w:lineRule="auto"/>
        <w:tabs>
          <w:tab w:leader="none" w:pos="1288" w:val="left"/>
        </w:tabs>
        <w:numPr>
          <w:ilvl w:val="1"/>
          <w:numId w:val="203"/>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made pursuant to written plans for transacting in the Company’s securities that, at the time adopted, conform to all of the requirements of Rule 10b5-1 of the Exchange Act as then in effect;</w:t>
      </w:r>
    </w:p>
    <w:p>
      <w:pPr>
        <w:sectPr>
          <w:pgSz w:w="11900" w:h="16838" w:orient="portrait"/>
          <w:cols w:equalWidth="0" w:num="1">
            <w:col w:w="11240"/>
          </w:cols>
          <w:pgMar w:left="320" w:top="1090" w:right="339" w:bottom="1440" w:gutter="0" w:footer="0" w:header="0"/>
        </w:sectPr>
      </w:pPr>
    </w:p>
    <w:bookmarkStart w:id="194" w:name="page195"/>
    <w:bookmarkEnd w:id="194"/>
    <w:p>
      <w:pPr>
        <w:jc w:val="both"/>
        <w:ind w:left="1292" w:hanging="644"/>
        <w:spacing w:after="0" w:line="262" w:lineRule="auto"/>
        <w:tabs>
          <w:tab w:leader="none" w:pos="1280"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p>
      <w:pPr>
        <w:spacing w:after="0" w:line="177" w:lineRule="exact"/>
        <w:rPr>
          <w:rFonts w:ascii="Times New Roman" w:cs="Times New Roman" w:eastAsia="Times New Roman" w:hAnsi="Times New Roman"/>
          <w:sz w:val="20"/>
          <w:szCs w:val="20"/>
          <w:color w:val="auto"/>
        </w:rPr>
      </w:pPr>
    </w:p>
    <w:p>
      <w:pPr>
        <w:ind w:left="1292" w:hanging="644"/>
        <w:spacing w:after="0" w:line="271" w:lineRule="auto"/>
        <w:tabs>
          <w:tab w:leader="none" w:pos="1280"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transaction expressly authorized by the board of directors or any committee thereof, or by senior management in consultation with the Insider Trading Compliance Officer.</w:t>
      </w:r>
    </w:p>
    <w:p>
      <w:pPr>
        <w:spacing w:after="0" w:line="195"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204"/>
        </w:numPr>
        <w:rPr>
          <w:rFonts w:ascii="Arial" w:cs="Arial" w:eastAsia="Arial" w:hAnsi="Arial"/>
          <w:sz w:val="22"/>
          <w:szCs w:val="22"/>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jc w:val="both"/>
        <w:ind w:left="652"/>
        <w:spacing w:after="0" w:line="254" w:lineRule="auto"/>
        <w:rPr>
          <w:rFonts w:ascii="Arial" w:cs="Arial" w:eastAsia="Arial" w:hAnsi="Arial"/>
          <w:sz w:val="22"/>
          <w:szCs w:val="22"/>
          <w:color w:val="auto"/>
        </w:rPr>
      </w:pPr>
      <w:r>
        <w:rPr>
          <w:rFonts w:ascii="Arial" w:cs="Arial" w:eastAsia="Arial" w:hAnsi="Arial"/>
          <w:sz w:val="20"/>
          <w:szCs w:val="20"/>
          <w:color w:val="auto"/>
        </w:rPr>
        <w:t>Information is material if there is a substantial likelihood that a reasonable investor would consider the information as significantly altering the total mix of information available. Information may therefore be material if it is likely that a reasonable investor would consider it important in making an investment decision regarding the purchase, holding or sale of a company’s securities. Both positive and negative information can be material. Common examples of information that could be, but are not necessarily, material include:</w:t>
      </w:r>
    </w:p>
    <w:p>
      <w:pPr>
        <w:spacing w:after="0" w:line="187" w:lineRule="exact"/>
        <w:rPr>
          <w:rFonts w:ascii="Arial" w:cs="Arial" w:eastAsia="Arial" w:hAnsi="Arial"/>
          <w:sz w:val="22"/>
          <w:szCs w:val="22"/>
          <w:color w:val="auto"/>
        </w:rPr>
      </w:pPr>
    </w:p>
    <w:p>
      <w:pPr>
        <w:ind w:left="1292" w:hanging="644"/>
        <w:spacing w:after="0"/>
        <w:tabs>
          <w:tab w:leader="none" w:pos="1292"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revenues, expenses and other earnings information;</w:t>
      </w:r>
    </w:p>
    <w:p>
      <w:pPr>
        <w:spacing w:after="0" w:line="21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new or cancelled significant bookings;</w:t>
      </w:r>
    </w:p>
    <w:p>
      <w:pPr>
        <w:spacing w:after="0" w:line="228"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or termination of material contracts;</w:t>
      </w:r>
    </w:p>
    <w:p>
      <w:pPr>
        <w:spacing w:after="0" w:line="214" w:lineRule="exact"/>
        <w:rPr>
          <w:rFonts w:ascii="Times New Roman" w:cs="Times New Roman" w:eastAsia="Times New Roman" w:hAnsi="Times New Roman"/>
          <w:sz w:val="20"/>
          <w:szCs w:val="20"/>
          <w:color w:val="auto"/>
        </w:rPr>
      </w:pPr>
    </w:p>
    <w:p>
      <w:pPr>
        <w:ind w:left="1292" w:right="20" w:hanging="644"/>
        <w:spacing w:after="0" w:line="285" w:lineRule="auto"/>
        <w:tabs>
          <w:tab w:leader="none" w:pos="1280"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pending or prospective mergers, significant acquisitions, tender offers, joint ventures, or significant changes in assets;</w:t>
      </w:r>
    </w:p>
    <w:p>
      <w:pPr>
        <w:spacing w:after="0" w:line="15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new products or discoveries, or developments regarding customers or suppliers;</w:t>
      </w:r>
    </w:p>
    <w:p>
      <w:pPr>
        <w:spacing w:after="0" w:line="21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corporate events, including material cybersecurity, data, or personnel matters; and</w:t>
      </w:r>
    </w:p>
    <w:p>
      <w:pPr>
        <w:spacing w:after="0" w:line="228" w:lineRule="exact"/>
        <w:rPr>
          <w:rFonts w:ascii="Times New Roman" w:cs="Times New Roman" w:eastAsia="Times New Roman" w:hAnsi="Times New Roman"/>
          <w:sz w:val="20"/>
          <w:szCs w:val="20"/>
          <w:color w:val="auto"/>
        </w:rPr>
      </w:pPr>
    </w:p>
    <w:p>
      <w:pPr>
        <w:ind w:left="1292" w:hanging="644"/>
        <w:spacing w:after="0" w:line="271" w:lineRule="auto"/>
        <w:tabs>
          <w:tab w:leader="none" w:pos="1280" w:val="left"/>
        </w:tabs>
        <w:numPr>
          <w:ilvl w:val="1"/>
          <w:numId w:val="204"/>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control or major personnel changes, particularly departures or elections of directors or executive officers.</w:t>
      </w:r>
    </w:p>
    <w:p>
      <w:pPr>
        <w:spacing w:after="0" w:line="168" w:lineRule="exact"/>
        <w:rPr>
          <w:sz w:val="20"/>
          <w:szCs w:val="20"/>
          <w:color w:val="auto"/>
        </w:rPr>
      </w:pPr>
    </w:p>
    <w:p>
      <w:pPr>
        <w:jc w:val="both"/>
        <w:ind w:left="652"/>
        <w:spacing w:after="0" w:line="251" w:lineRule="auto"/>
        <w:rPr>
          <w:sz w:val="20"/>
          <w:szCs w:val="20"/>
          <w:color w:val="auto"/>
        </w:rPr>
      </w:pPr>
      <w:r>
        <w:rPr>
          <w:rFonts w:ascii="Arial" w:cs="Arial" w:eastAsia="Arial" w:hAnsi="Arial"/>
          <w:sz w:val="20"/>
          <w:szCs w:val="20"/>
          <w:color w:val="auto"/>
        </w:rPr>
        <w:t>Nonpublic information is information that has not been previously disclosed to the general public (for example, through press releases and public filings with the SEC) and is otherwise not available to the general public. Although timing may vary depending on the circumstances, generally, the Company expects that insiders should allow two full business days after release of the information by the Company as a reasonable waiting period before information is deemed public. Depending on the particular circumstances, the Company may determine that a longer or shorter period should apply to the release of material, nonpublic information. If you have any question as to whether it is appropriate to transact in a given circumstance, contact the Insider Trading Compliance Officer prior to transacting in Company securities.</w:t>
      </w:r>
    </w:p>
    <w:p>
      <w:pPr>
        <w:spacing w:after="0" w:line="220" w:lineRule="exact"/>
        <w:rPr>
          <w:sz w:val="20"/>
          <w:szCs w:val="20"/>
          <w:color w:val="auto"/>
        </w:rPr>
      </w:pPr>
    </w:p>
    <w:p>
      <w:pPr>
        <w:ind w:left="632" w:hanging="632"/>
        <w:spacing w:after="0"/>
        <w:tabs>
          <w:tab w:leader="none" w:pos="632" w:val="left"/>
        </w:tabs>
        <w:numPr>
          <w:ilvl w:val="0"/>
          <w:numId w:val="205"/>
        </w:numPr>
        <w:rPr>
          <w:rFonts w:ascii="Arial" w:cs="Arial" w:eastAsia="Arial" w:hAnsi="Arial"/>
          <w:sz w:val="22"/>
          <w:szCs w:val="22"/>
          <w:color w:val="auto"/>
        </w:rPr>
      </w:pPr>
      <w:r>
        <w:rPr>
          <w:rFonts w:ascii="Arial" w:cs="Arial" w:eastAsia="Arial" w:hAnsi="Arial"/>
          <w:sz w:val="20"/>
          <w:szCs w:val="20"/>
          <w:u w:val="single" w:color="auto"/>
          <w:color w:val="auto"/>
        </w:rPr>
        <w:t>Additional Transaction Policies</w:t>
      </w:r>
      <w:r>
        <w:rPr>
          <w:rFonts w:ascii="Arial" w:cs="Arial" w:eastAsia="Arial" w:hAnsi="Arial"/>
          <w:sz w:val="20"/>
          <w:szCs w:val="20"/>
          <w:color w:val="auto"/>
        </w:rPr>
        <w:t>. The Company has established the following additional insider trading policies.</w:t>
      </w:r>
    </w:p>
    <w:p>
      <w:pPr>
        <w:spacing w:after="0" w:line="214" w:lineRule="exact"/>
        <w:rPr>
          <w:rFonts w:ascii="Arial" w:cs="Arial" w:eastAsia="Arial" w:hAnsi="Arial"/>
          <w:sz w:val="22"/>
          <w:szCs w:val="22"/>
          <w:color w:val="auto"/>
        </w:rPr>
      </w:pPr>
    </w:p>
    <w:p>
      <w:pPr>
        <w:ind w:left="1292" w:hanging="648"/>
        <w:spacing w:after="0" w:line="254" w:lineRule="auto"/>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19"/>
          <w:szCs w:val="19"/>
          <w:u w:val="single" w:color="auto"/>
          <w:color w:val="auto"/>
        </w:rPr>
        <w:t>Transaction Windows</w:t>
      </w:r>
      <w:r>
        <w:rPr>
          <w:rFonts w:ascii="Arial" w:cs="Arial" w:eastAsia="Arial" w:hAnsi="Arial"/>
          <w:sz w:val="19"/>
          <w:szCs w:val="19"/>
          <w:color w:val="auto"/>
        </w:rPr>
        <w:t>. The Company establishes “</w:t>
      </w:r>
      <w:r>
        <w:rPr>
          <w:rFonts w:ascii="Arial" w:cs="Arial" w:eastAsia="Arial" w:hAnsi="Arial"/>
          <w:sz w:val="19"/>
          <w:szCs w:val="19"/>
          <w:b w:val="1"/>
          <w:bCs w:val="1"/>
          <w:color w:val="auto"/>
        </w:rPr>
        <w:t>transaction windows</w:t>
      </w:r>
      <w:r>
        <w:rPr>
          <w:rFonts w:ascii="Arial" w:cs="Arial" w:eastAsia="Arial" w:hAnsi="Arial"/>
          <w:sz w:val="19"/>
          <w:szCs w:val="19"/>
          <w:color w:val="auto"/>
        </w:rPr>
        <w:t>” for when transacting in the Company’s</w:t>
      </w:r>
      <w:r>
        <w:rPr>
          <w:rFonts w:ascii="Arial" w:cs="Arial" w:eastAsia="Arial" w:hAnsi="Arial"/>
          <w:sz w:val="22"/>
          <w:szCs w:val="22"/>
          <w:color w:val="auto"/>
        </w:rPr>
        <w:t xml:space="preserve"> </w:t>
      </w:r>
      <w:r>
        <w:rPr>
          <w:rFonts w:ascii="Arial" w:cs="Arial" w:eastAsia="Arial" w:hAnsi="Arial"/>
          <w:sz w:val="19"/>
          <w:szCs w:val="19"/>
          <w:color w:val="auto"/>
        </w:rPr>
        <w:t>securities is not generally prohibited. Subject to the general restrictions on insider trading under this policy statement and Section 5,</w:t>
      </w:r>
    </w:p>
    <w:p>
      <w:pPr>
        <w:sectPr>
          <w:pgSz w:w="11900" w:h="16838" w:orient="portrait"/>
          <w:cols w:equalWidth="0" w:num="1">
            <w:col w:w="11232"/>
          </w:cols>
          <w:pgMar w:left="328" w:top="1090" w:right="339" w:bottom="1440" w:gutter="0" w:footer="0" w:header="0"/>
        </w:sectPr>
      </w:pPr>
    </w:p>
    <w:bookmarkStart w:id="195" w:name="page196"/>
    <w:bookmarkEnd w:id="195"/>
    <w:p>
      <w:pPr>
        <w:jc w:val="both"/>
        <w:ind w:left="180"/>
        <w:spacing w:after="0" w:line="270" w:lineRule="auto"/>
        <w:rPr>
          <w:sz w:val="20"/>
          <w:szCs w:val="20"/>
          <w:color w:val="auto"/>
        </w:rPr>
      </w:pPr>
      <w:r>
        <w:rPr>
          <w:rFonts w:ascii="Arial" w:cs="Arial" w:eastAsia="Arial" w:hAnsi="Arial"/>
          <w:sz w:val="19"/>
          <w:szCs w:val="19"/>
          <w:color w:val="auto"/>
        </w:rPr>
        <w:t>subsection 3.2 below, Designated Insiders (as defined below) generally may transact in the Company’s securities during transaction windows. Note that “</w:t>
      </w:r>
      <w:r>
        <w:rPr>
          <w:rFonts w:ascii="Arial" w:cs="Arial" w:eastAsia="Arial" w:hAnsi="Arial"/>
          <w:sz w:val="19"/>
          <w:szCs w:val="19"/>
          <w:b w:val="1"/>
          <w:bCs w:val="1"/>
          <w:color w:val="auto"/>
        </w:rPr>
        <w:t>transacting</w:t>
      </w:r>
      <w:r>
        <w:rPr>
          <w:rFonts w:ascii="Arial" w:cs="Arial" w:eastAsia="Arial" w:hAnsi="Arial"/>
          <w:sz w:val="19"/>
          <w:szCs w:val="19"/>
          <w:color w:val="auto"/>
        </w:rPr>
        <w:t>” includes not only open market purchases and sales but also sales of securities purchased upon the exercise of options granted under the Company’s equity incentive, other plans and so-called “</w:t>
      </w:r>
      <w:r>
        <w:rPr>
          <w:rFonts w:ascii="Arial" w:cs="Arial" w:eastAsia="Arial" w:hAnsi="Arial"/>
          <w:sz w:val="19"/>
          <w:szCs w:val="19"/>
          <w:b w:val="1"/>
          <w:bCs w:val="1"/>
          <w:color w:val="auto"/>
        </w:rPr>
        <w:t>derivatives transactions</w:t>
      </w:r>
      <w:r>
        <w:rPr>
          <w:rFonts w:ascii="Arial" w:cs="Arial" w:eastAsia="Arial" w:hAnsi="Arial"/>
          <w:sz w:val="19"/>
          <w:szCs w:val="19"/>
          <w:color w:val="auto"/>
        </w:rPr>
        <w:t>,” as detailed below, and giving gifts of the Company’s securities. Caution must still be exercised, however. Transacting in the Company’s securities during the transaction windows should not be considered a “safe harbor,” and insiders should use good judgment at all times.</w:t>
      </w:r>
    </w:p>
    <w:p>
      <w:pPr>
        <w:spacing w:after="0" w:line="181" w:lineRule="exact"/>
        <w:rPr>
          <w:sz w:val="20"/>
          <w:szCs w:val="20"/>
          <w:color w:val="auto"/>
        </w:rPr>
      </w:pPr>
    </w:p>
    <w:p>
      <w:pPr>
        <w:jc w:val="both"/>
        <w:ind w:left="840" w:hanging="647"/>
        <w:spacing w:after="0" w:line="258"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19"/>
          <w:szCs w:val="19"/>
          <w:u w:val="single" w:color="auto"/>
          <w:color w:val="auto"/>
        </w:rPr>
        <w:t>Scheduled Black-out Periods</w:t>
      </w:r>
      <w:r>
        <w:rPr>
          <w:rFonts w:ascii="Arial" w:cs="Arial" w:eastAsia="Arial" w:hAnsi="Arial"/>
          <w:sz w:val="19"/>
          <w:szCs w:val="19"/>
          <w:color w:val="auto"/>
        </w:rPr>
        <w:t>. The Company has determined that directors, executive officers and other</w:t>
      </w:r>
      <w:r>
        <w:rPr>
          <w:rFonts w:ascii="Arial" w:cs="Arial" w:eastAsia="Arial" w:hAnsi="Arial"/>
          <w:sz w:val="22"/>
          <w:szCs w:val="22"/>
          <w:color w:val="auto"/>
        </w:rPr>
        <w:t xml:space="preserve"> </w:t>
      </w:r>
      <w:r>
        <w:rPr>
          <w:rFonts w:ascii="Arial" w:cs="Arial" w:eastAsia="Arial" w:hAnsi="Arial"/>
          <w:sz w:val="19"/>
          <w:szCs w:val="19"/>
          <w:color w:val="auto"/>
        </w:rPr>
        <w:t>individuals designated from time to time by the Company (collectively, “</w:t>
      </w:r>
      <w:r>
        <w:rPr>
          <w:rFonts w:ascii="Arial" w:cs="Arial" w:eastAsia="Arial" w:hAnsi="Arial"/>
          <w:sz w:val="19"/>
          <w:szCs w:val="19"/>
          <w:b w:val="1"/>
          <w:bCs w:val="1"/>
          <w:color w:val="auto"/>
        </w:rPr>
        <w:t>Designated Insiders</w:t>
      </w:r>
      <w:r>
        <w:rPr>
          <w:rFonts w:ascii="Arial" w:cs="Arial" w:eastAsia="Arial" w:hAnsi="Arial"/>
          <w:sz w:val="19"/>
          <w:szCs w:val="19"/>
          <w:color w:val="auto"/>
        </w:rPr>
        <w:t>”), as well as their respective family members and affiliated entities, will not be permitted to transact in the Company’s securities at any time during the periods designated by the Insider Trading Compliance Officer from time to time (the “</w:t>
      </w:r>
      <w:r>
        <w:rPr>
          <w:rFonts w:ascii="Arial" w:cs="Arial" w:eastAsia="Arial" w:hAnsi="Arial"/>
          <w:sz w:val="19"/>
          <w:szCs w:val="19"/>
          <w:b w:val="1"/>
          <w:bCs w:val="1"/>
          <w:color w:val="auto"/>
        </w:rPr>
        <w:t>Scheduled Black-out Periods</w:t>
      </w:r>
      <w:r>
        <w:rPr>
          <w:rFonts w:ascii="Arial" w:cs="Arial" w:eastAsia="Arial" w:hAnsi="Arial"/>
          <w:sz w:val="19"/>
          <w:szCs w:val="19"/>
          <w:color w:val="auto"/>
        </w:rPr>
        <w:t>”).</w:t>
      </w:r>
    </w:p>
    <w:p>
      <w:pPr>
        <w:spacing w:after="0" w:line="174" w:lineRule="exact"/>
        <w:rPr>
          <w:sz w:val="20"/>
          <w:szCs w:val="20"/>
          <w:color w:val="auto"/>
        </w:rPr>
      </w:pPr>
    </w:p>
    <w:p>
      <w:pPr>
        <w:ind w:left="840"/>
        <w:spacing w:after="0" w:line="271" w:lineRule="auto"/>
        <w:rPr>
          <w:sz w:val="20"/>
          <w:szCs w:val="20"/>
          <w:color w:val="auto"/>
        </w:rPr>
      </w:pPr>
      <w:r>
        <w:rPr>
          <w:rFonts w:ascii="Arial" w:cs="Arial" w:eastAsia="Arial" w:hAnsi="Arial"/>
          <w:sz w:val="20"/>
          <w:szCs w:val="20"/>
          <w:color w:val="auto"/>
        </w:rPr>
        <w:t>Again, you may not transact in Company securities at any time if you have knowledge of material, nonpublic information about the Company.</w:t>
      </w:r>
    </w:p>
    <w:p>
      <w:pPr>
        <w:spacing w:after="0" w:line="178" w:lineRule="exact"/>
        <w:rPr>
          <w:sz w:val="20"/>
          <w:szCs w:val="20"/>
          <w:color w:val="auto"/>
        </w:rPr>
      </w:pPr>
    </w:p>
    <w:p>
      <w:pPr>
        <w:jc w:val="both"/>
        <w:ind w:left="840" w:hanging="647"/>
        <w:spacing w:after="0" w:line="25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19"/>
          <w:szCs w:val="19"/>
          <w:u w:val="single" w:color="auto"/>
          <w:color w:val="auto"/>
        </w:rPr>
        <w:t>Unscheduled Black-out Periods</w:t>
      </w:r>
      <w:r>
        <w:rPr>
          <w:rFonts w:ascii="Arial" w:cs="Arial" w:eastAsia="Arial" w:hAnsi="Arial"/>
          <w:sz w:val="19"/>
          <w:szCs w:val="19"/>
          <w:color w:val="auto"/>
        </w:rPr>
        <w:t>. From time to time, the Company may prohibit some or all of its directors,</w:t>
      </w:r>
      <w:r>
        <w:rPr>
          <w:rFonts w:ascii="Arial" w:cs="Arial" w:eastAsia="Arial" w:hAnsi="Arial"/>
          <w:sz w:val="22"/>
          <w:szCs w:val="22"/>
          <w:color w:val="auto"/>
        </w:rPr>
        <w:t xml:space="preserve"> </w:t>
      </w:r>
      <w:r>
        <w:rPr>
          <w:rFonts w:ascii="Arial" w:cs="Arial" w:eastAsia="Arial" w:hAnsi="Arial"/>
          <w:sz w:val="19"/>
          <w:szCs w:val="19"/>
          <w:color w:val="auto"/>
        </w:rPr>
        <w:t>executive officers, or employees, as well as their family members and affiliated entities, from transacting in the securities of the Company or the securities of another company because of developments known to the Company and not yet disclosed to the public, an “</w:t>
      </w:r>
      <w:r>
        <w:rPr>
          <w:rFonts w:ascii="Arial" w:cs="Arial" w:eastAsia="Arial" w:hAnsi="Arial"/>
          <w:sz w:val="19"/>
          <w:szCs w:val="19"/>
          <w:b w:val="1"/>
          <w:bCs w:val="1"/>
          <w:color w:val="auto"/>
        </w:rPr>
        <w:t>Unscheduled</w:t>
      </w:r>
      <w:r>
        <w:rPr>
          <w:rFonts w:ascii="Arial" w:cs="Arial" w:eastAsia="Arial" w:hAnsi="Arial"/>
          <w:sz w:val="19"/>
          <w:szCs w:val="19"/>
          <w:color w:val="auto"/>
        </w:rPr>
        <w:t xml:space="preserve"> B</w:t>
      </w:r>
      <w:r>
        <w:rPr>
          <w:rFonts w:ascii="Arial" w:cs="Arial" w:eastAsia="Arial" w:hAnsi="Arial"/>
          <w:sz w:val="19"/>
          <w:szCs w:val="19"/>
          <w:b w:val="1"/>
          <w:bCs w:val="1"/>
          <w:color w:val="auto"/>
        </w:rPr>
        <w:t>lack-out Period</w:t>
      </w:r>
      <w:r>
        <w:rPr>
          <w:rFonts w:ascii="Arial" w:cs="Arial" w:eastAsia="Arial" w:hAnsi="Arial"/>
          <w:sz w:val="19"/>
          <w:szCs w:val="19"/>
          <w:color w:val="auto"/>
        </w:rPr>
        <w:t>.” In this event, the Insider Trading Compliance Officer will notify affected persons, and those persons, except as set forth in Section 5, subsection 3.4 below, may not engage in any transaction involving the securities of the Company or the other specified company, as applicable, until the Insider Trading Compliance Officer notifies them that the Unscheduled Black-out Period is over. In addition, any person made aware of the existence of an Unscheduled Black-out Period should not disclose to the existence of the Unscheduled Black-out Period to any other person (outside of those subject to the Unscheduled Black-out Period).</w:t>
      </w:r>
    </w:p>
    <w:p>
      <w:pPr>
        <w:spacing w:after="0" w:line="196" w:lineRule="exact"/>
        <w:rPr>
          <w:sz w:val="20"/>
          <w:szCs w:val="20"/>
          <w:color w:val="auto"/>
        </w:rPr>
      </w:pPr>
    </w:p>
    <w:p>
      <w:pPr>
        <w:jc w:val="both"/>
        <w:ind w:left="180" w:hanging="647"/>
        <w:spacing w:after="0" w:line="265" w:lineRule="auto"/>
        <w:tabs>
          <w:tab w:leader="none" w:pos="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Mandatory Pre-clearance</w:t>
      </w:r>
      <w:r>
        <w:rPr>
          <w:rFonts w:ascii="Arial" w:cs="Arial" w:eastAsia="Arial" w:hAnsi="Arial"/>
          <w:sz w:val="19"/>
          <w:szCs w:val="19"/>
          <w:color w:val="auto"/>
        </w:rPr>
        <w:t>. The Company has determined that the Designated Insiders must comply with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Company’s mandatory “</w:t>
      </w:r>
      <w:r>
        <w:rPr>
          <w:rFonts w:ascii="Arial" w:cs="Arial" w:eastAsia="Arial" w:hAnsi="Arial"/>
          <w:sz w:val="19"/>
          <w:szCs w:val="19"/>
          <w:b w:val="1"/>
          <w:bCs w:val="1"/>
          <w:color w:val="auto"/>
        </w:rPr>
        <w:t>pre-clearance</w:t>
      </w:r>
      <w:r>
        <w:rPr>
          <w:rFonts w:ascii="Arial" w:cs="Arial" w:eastAsia="Arial" w:hAnsi="Arial"/>
          <w:sz w:val="19"/>
          <w:szCs w:val="19"/>
          <w:color w:val="auto"/>
        </w:rPr>
        <w:t>” process as set forth in this 3.2 before transacting in the Company’s securities at any time, even during the transaction windows. A Designated Insider must submit a pre-clearance request to the Insider Trading Compliance Officer in writing before executing the desired transaction in the Company’s securities. At the same time, the Designated Insider should notify the person designated by the Chief Financial Officer as Stock Administrator (the “</w:t>
      </w:r>
      <w:r>
        <w:rPr>
          <w:rFonts w:ascii="Arial" w:cs="Arial" w:eastAsia="Arial" w:hAnsi="Arial"/>
          <w:sz w:val="19"/>
          <w:szCs w:val="19"/>
          <w:b w:val="1"/>
          <w:bCs w:val="1"/>
          <w:color w:val="auto"/>
        </w:rPr>
        <w:t>Aviat Networks Stock Administrator</w:t>
      </w:r>
      <w:r>
        <w:rPr>
          <w:rFonts w:ascii="Arial" w:cs="Arial" w:eastAsia="Arial" w:hAnsi="Arial"/>
          <w:sz w:val="19"/>
          <w:szCs w:val="19"/>
          <w:color w:val="auto"/>
        </w:rPr>
        <w:t>”) of the pending transaction. The Designated Insider may not execute the transaction before he or she has received written approval from the Insider Trading Compliance Officer; oral approval is not sufficient. The Insider Trading Compliance Officer may consult as necessary with senior management of and/or counsel to the Company before clearing any proposed transaction. After the Designated Insider receives clearance to engage in the desired transaction, the Designated Insider must complete the transaction within (1) three trading days or (2) such shorter period as</w:t>
      </w:r>
    </w:p>
    <w:p>
      <w:pPr>
        <w:sectPr>
          <w:pgSz w:w="11900" w:h="16838" w:orient="portrait"/>
          <w:cols w:equalWidth="0" w:num="1">
            <w:col w:w="10120"/>
          </w:cols>
          <w:pgMar w:left="1440" w:top="1090" w:right="339" w:bottom="1440" w:gutter="0" w:footer="0" w:header="0"/>
        </w:sectPr>
      </w:pPr>
    </w:p>
    <w:bookmarkStart w:id="196" w:name="page197"/>
    <w:bookmarkEnd w:id="196"/>
    <w:p>
      <w:pPr>
        <w:jc w:val="both"/>
        <w:ind w:left="180"/>
        <w:spacing w:after="0" w:line="255" w:lineRule="auto"/>
        <w:rPr>
          <w:sz w:val="20"/>
          <w:szCs w:val="20"/>
          <w:color w:val="auto"/>
        </w:rPr>
      </w:pPr>
      <w:r>
        <w:rPr>
          <w:rFonts w:ascii="Arial" w:cs="Arial" w:eastAsia="Arial" w:hAnsi="Arial"/>
          <w:sz w:val="20"/>
          <w:szCs w:val="20"/>
          <w:color w:val="auto"/>
        </w:rPr>
        <w:t>is designated by the Insider Trading Compliance Officer, or make a new request for clearance. The Insider Trading Compliance Officer is under no obligation to approve a transaction submitted for pre-clearance. If permission to execute the transaction is denied, the Designated Insider should not initiate any transaction</w:t>
      </w:r>
    </w:p>
    <w:p>
      <w:pPr>
        <w:jc w:val="both"/>
        <w:ind w:left="180"/>
        <w:spacing w:after="0" w:line="252" w:lineRule="auto"/>
        <w:rPr>
          <w:sz w:val="20"/>
          <w:szCs w:val="20"/>
          <w:color w:val="auto"/>
        </w:rPr>
      </w:pPr>
      <w:r>
        <w:rPr>
          <w:rFonts w:ascii="Arial" w:cs="Arial" w:eastAsia="Arial" w:hAnsi="Arial"/>
          <w:sz w:val="20"/>
          <w:szCs w:val="20"/>
          <w:color w:val="auto"/>
        </w:rPr>
        <w:t xml:space="preserve">involving Company securities and should not inform any other person of the restriction. </w:t>
      </w:r>
      <w:r>
        <w:rPr>
          <w:rFonts w:ascii="Arial" w:cs="Arial" w:eastAsia="Arial" w:hAnsi="Arial"/>
          <w:sz w:val="20"/>
          <w:szCs w:val="20"/>
          <w:b w:val="1"/>
          <w:bCs w:val="1"/>
          <w:color w:val="auto"/>
        </w:rPr>
        <w:t>Clearance of a</w:t>
      </w:r>
      <w:r>
        <w:rPr>
          <w:rFonts w:ascii="Arial" w:cs="Arial" w:eastAsia="Arial" w:hAnsi="Arial"/>
          <w:sz w:val="20"/>
          <w:szCs w:val="20"/>
          <w:color w:val="auto"/>
        </w:rPr>
        <w:t xml:space="preserve"> </w:t>
      </w:r>
      <w:r>
        <w:rPr>
          <w:rFonts w:ascii="Arial" w:cs="Arial" w:eastAsia="Arial" w:hAnsi="Arial"/>
          <w:sz w:val="20"/>
          <w:szCs w:val="20"/>
          <w:b w:val="1"/>
          <w:bCs w:val="1"/>
          <w:color w:val="auto"/>
        </w:rPr>
        <w:t>proposed transaction by the Insider Trading Compliance Officer does not constitute legal advice or otherwise acknowledge that a Designated Insider does not possess material, nonpublic information. Designated Insiders must ultimately make their own judgments regarding, and are personally responsible for determining, whether they are in possession of material, nonpublic information.</w:t>
      </w:r>
    </w:p>
    <w:p>
      <w:pPr>
        <w:spacing w:after="0" w:line="177" w:lineRule="exact"/>
        <w:rPr>
          <w:sz w:val="20"/>
          <w:szCs w:val="20"/>
          <w:color w:val="auto"/>
        </w:rPr>
      </w:pPr>
    </w:p>
    <w:p>
      <w:pPr>
        <w:jc w:val="both"/>
        <w:ind w:left="180"/>
        <w:spacing w:after="0" w:line="255" w:lineRule="auto"/>
        <w:rPr>
          <w:sz w:val="20"/>
          <w:szCs w:val="20"/>
          <w:color w:val="auto"/>
        </w:rPr>
      </w:pPr>
      <w:r>
        <w:rPr>
          <w:rFonts w:ascii="Arial" w:cs="Arial" w:eastAsia="Arial" w:hAnsi="Arial"/>
          <w:sz w:val="20"/>
          <w:szCs w:val="20"/>
          <w:b w:val="1"/>
          <w:bCs w:val="1"/>
          <w:color w:val="auto"/>
        </w:rPr>
        <w:t xml:space="preserve">The procedures and restrictions in Sections 3.1 and 3.2 above apply to all Designated Insiders and their respective family members and affiliated entities. </w:t>
      </w:r>
      <w:r>
        <w:rPr>
          <w:rFonts w:ascii="Arial" w:cs="Arial" w:eastAsia="Arial" w:hAnsi="Arial"/>
          <w:sz w:val="20"/>
          <w:szCs w:val="20"/>
          <w:color w:val="auto"/>
        </w:rPr>
        <w:t>The Insider Trading Compliance Officer shall be responsible</w:t>
      </w:r>
      <w:r>
        <w:rPr>
          <w:rFonts w:ascii="Arial" w:cs="Arial" w:eastAsia="Arial" w:hAnsi="Arial"/>
          <w:sz w:val="20"/>
          <w:szCs w:val="20"/>
          <w:b w:val="1"/>
          <w:bCs w:val="1"/>
          <w:color w:val="auto"/>
        </w:rPr>
        <w:t xml:space="preserve"> </w:t>
      </w:r>
      <w:r>
        <w:rPr>
          <w:rFonts w:ascii="Arial" w:cs="Arial" w:eastAsia="Arial" w:hAnsi="Arial"/>
          <w:sz w:val="20"/>
          <w:szCs w:val="20"/>
          <w:color w:val="auto"/>
        </w:rPr>
        <w:t>for notifying relevant individuals that they are Designated Insiders subject to the special restrictions in Sections 3.1 and 3.2. If you have any doubt as to whether these restrictions apply to you, you should contact the Insider Trading Compliance Officer.</w:t>
      </w:r>
    </w:p>
    <w:p>
      <w:pPr>
        <w:spacing w:after="0" w:line="193" w:lineRule="exact"/>
        <w:rPr>
          <w:sz w:val="20"/>
          <w:szCs w:val="20"/>
          <w:color w:val="auto"/>
        </w:rPr>
      </w:pPr>
    </w:p>
    <w:p>
      <w:pPr>
        <w:ind w:left="180" w:right="20" w:hanging="647"/>
        <w:spacing w:after="0" w:line="271" w:lineRule="auto"/>
        <w:tabs>
          <w:tab w:leader="none" w:pos="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0"/>
          <w:szCs w:val="20"/>
          <w:u w:val="single" w:color="auto"/>
          <w:color w:val="auto"/>
        </w:rPr>
        <w:t>Additional Trading Restrictions</w:t>
      </w:r>
      <w:r>
        <w:rPr>
          <w:rFonts w:ascii="Arial" w:cs="Arial" w:eastAsia="Arial" w:hAnsi="Arial"/>
          <w:sz w:val="20"/>
          <w:szCs w:val="20"/>
          <w:color w:val="auto"/>
        </w:rPr>
        <w:t>. It is the Company’s policy that directors, officers and other employees may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engage in any of the following transactions subject to the exceptions in Section 3.4:</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3.3.1. </w:t>
      </w:r>
      <w:r>
        <w:rPr>
          <w:rFonts w:ascii="Arial" w:cs="Arial" w:eastAsia="Arial" w:hAnsi="Arial"/>
          <w:sz w:val="19"/>
          <w:szCs w:val="19"/>
          <w:u w:val="single" w:color="auto"/>
          <w:color w:val="auto"/>
        </w:rPr>
        <w:t>Short Sales</w:t>
      </w:r>
      <w:r>
        <w:rPr>
          <w:rFonts w:ascii="Arial" w:cs="Arial" w:eastAsia="Arial" w:hAnsi="Arial"/>
          <w:sz w:val="19"/>
          <w:szCs w:val="19"/>
          <w:color w:val="auto"/>
        </w:rPr>
        <w:t>. Short sales of the Company’s securities are prohibited.</w:t>
      </w:r>
    </w:p>
    <w:p>
      <w:pPr>
        <w:spacing w:after="0" w:line="233" w:lineRule="exact"/>
        <w:rPr>
          <w:sz w:val="20"/>
          <w:szCs w:val="20"/>
          <w:color w:val="auto"/>
        </w:rPr>
      </w:pPr>
    </w:p>
    <w:p>
      <w:pPr>
        <w:jc w:val="both"/>
        <w:ind w:left="840" w:hanging="647"/>
        <w:spacing w:after="0" w:line="271" w:lineRule="auto"/>
        <w:rPr>
          <w:sz w:val="20"/>
          <w:szCs w:val="20"/>
          <w:color w:val="auto"/>
        </w:rPr>
      </w:pPr>
      <w:r>
        <w:rPr>
          <w:rFonts w:ascii="Arial" w:cs="Arial" w:eastAsia="Arial" w:hAnsi="Arial"/>
          <w:sz w:val="22"/>
          <w:szCs w:val="22"/>
          <w:color w:val="auto"/>
        </w:rPr>
        <w:t xml:space="preserve">3.3.2. </w:t>
      </w:r>
      <w:r>
        <w:rPr>
          <w:rFonts w:ascii="Arial" w:cs="Arial" w:eastAsia="Arial" w:hAnsi="Arial"/>
          <w:sz w:val="19"/>
          <w:szCs w:val="19"/>
          <w:u w:val="single" w:color="auto"/>
          <w:color w:val="auto"/>
        </w:rPr>
        <w:t>Publicly Traded Options</w:t>
      </w:r>
      <w:r>
        <w:rPr>
          <w:rFonts w:ascii="Arial" w:cs="Arial" w:eastAsia="Arial" w:hAnsi="Arial"/>
          <w:sz w:val="19"/>
          <w:szCs w:val="19"/>
          <w:color w:val="auto"/>
        </w:rPr>
        <w:t>. Transactions in puts, calls or other derivative securities, on an exchange or in</w:t>
      </w:r>
      <w:r>
        <w:rPr>
          <w:rFonts w:ascii="Arial" w:cs="Arial" w:eastAsia="Arial" w:hAnsi="Arial"/>
          <w:sz w:val="22"/>
          <w:szCs w:val="22"/>
          <w:color w:val="auto"/>
        </w:rPr>
        <w:t xml:space="preserve"> </w:t>
      </w:r>
      <w:r>
        <w:rPr>
          <w:rFonts w:ascii="Arial" w:cs="Arial" w:eastAsia="Arial" w:hAnsi="Arial"/>
          <w:sz w:val="19"/>
          <w:szCs w:val="19"/>
          <w:color w:val="auto"/>
        </w:rPr>
        <w:t>any other organized market, are prohibited. (Option positions arising from certain types of hedging transactions are governed by subparagraph 3.3.3 below.)</w:t>
      </w:r>
    </w:p>
    <w:p>
      <w:pPr>
        <w:spacing w:after="0" w:line="166" w:lineRule="exact"/>
        <w:rPr>
          <w:sz w:val="20"/>
          <w:szCs w:val="20"/>
          <w:color w:val="auto"/>
        </w:rPr>
      </w:pPr>
    </w:p>
    <w:p>
      <w:pPr>
        <w:jc w:val="both"/>
        <w:ind w:left="840" w:hanging="647"/>
        <w:spacing w:after="0" w:line="296"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19"/>
          <w:szCs w:val="19"/>
          <w:u w:val="single" w:color="auto"/>
          <w:color w:val="auto"/>
        </w:rPr>
        <w:t>Hedging Transactions</w:t>
      </w:r>
      <w:r>
        <w:rPr>
          <w:rFonts w:ascii="Arial" w:cs="Arial" w:eastAsia="Arial" w:hAnsi="Arial"/>
          <w:sz w:val="19"/>
          <w:szCs w:val="19"/>
          <w:color w:val="auto"/>
        </w:rPr>
        <w:t>. Directors, officers and other employees are prohibited from engaging in any</w:t>
      </w:r>
      <w:r>
        <w:rPr>
          <w:rFonts w:ascii="Arial" w:cs="Arial" w:eastAsia="Arial" w:hAnsi="Arial"/>
          <w:sz w:val="22"/>
          <w:szCs w:val="22"/>
          <w:color w:val="auto"/>
        </w:rPr>
        <w:t xml:space="preserve"> </w:t>
      </w:r>
      <w:r>
        <w:rPr>
          <w:rFonts w:ascii="Arial" w:cs="Arial" w:eastAsia="Arial" w:hAnsi="Arial"/>
          <w:sz w:val="19"/>
          <w:szCs w:val="19"/>
          <w:color w:val="auto"/>
        </w:rPr>
        <w:t>hedging or monetization transactions, such as zero cost collars and forward sale contracts.</w:t>
      </w:r>
    </w:p>
    <w:p>
      <w:pPr>
        <w:spacing w:after="0" w:line="134" w:lineRule="exact"/>
        <w:rPr>
          <w:sz w:val="20"/>
          <w:szCs w:val="20"/>
          <w:color w:val="auto"/>
        </w:rPr>
      </w:pPr>
    </w:p>
    <w:p>
      <w:pPr>
        <w:jc w:val="both"/>
        <w:ind w:left="840" w:hanging="647"/>
        <w:spacing w:after="0" w:line="278" w:lineRule="auto"/>
        <w:rPr>
          <w:sz w:val="20"/>
          <w:szCs w:val="20"/>
          <w:color w:val="auto"/>
        </w:rPr>
      </w:pPr>
      <w:r>
        <w:rPr>
          <w:rFonts w:ascii="Arial" w:cs="Arial" w:eastAsia="Arial" w:hAnsi="Arial"/>
          <w:sz w:val="22"/>
          <w:szCs w:val="22"/>
          <w:color w:val="auto"/>
        </w:rPr>
        <w:t xml:space="preserve">3.3.4. </w:t>
      </w:r>
      <w:r>
        <w:rPr>
          <w:rFonts w:ascii="Arial" w:cs="Arial" w:eastAsia="Arial" w:hAnsi="Arial"/>
          <w:sz w:val="19"/>
          <w:szCs w:val="19"/>
          <w:u w:val="single" w:color="auto"/>
          <w:color w:val="auto"/>
        </w:rPr>
        <w:t>Margin Accounts and Pledges</w:t>
      </w:r>
      <w:r>
        <w:rPr>
          <w:rFonts w:ascii="Arial" w:cs="Arial" w:eastAsia="Arial" w:hAnsi="Arial"/>
          <w:sz w:val="19"/>
          <w:szCs w:val="19"/>
          <w:color w:val="auto"/>
        </w:rPr>
        <w:t>. Directors, officers and other employees are prohibited from holding</w:t>
      </w:r>
      <w:r>
        <w:rPr>
          <w:rFonts w:ascii="Arial" w:cs="Arial" w:eastAsia="Arial" w:hAnsi="Arial"/>
          <w:sz w:val="22"/>
          <w:szCs w:val="22"/>
          <w:color w:val="auto"/>
        </w:rPr>
        <w:t xml:space="preserve"> </w:t>
      </w:r>
      <w:r>
        <w:rPr>
          <w:rFonts w:ascii="Arial" w:cs="Arial" w:eastAsia="Arial" w:hAnsi="Arial"/>
          <w:sz w:val="19"/>
          <w:szCs w:val="19"/>
          <w:color w:val="auto"/>
        </w:rPr>
        <w:t>Company securities in a margin account, purchasing securities on margin, or pledging Company securities as collateral for a loan.</w:t>
      </w:r>
    </w:p>
    <w:p>
      <w:pPr>
        <w:spacing w:after="0" w:line="159" w:lineRule="exact"/>
        <w:rPr>
          <w:sz w:val="20"/>
          <w:szCs w:val="20"/>
          <w:color w:val="auto"/>
        </w:rPr>
      </w:pPr>
    </w:p>
    <w:p>
      <w:pPr>
        <w:jc w:val="both"/>
        <w:ind w:left="180" w:right="20" w:hanging="647"/>
        <w:spacing w:after="0" w:line="262" w:lineRule="auto"/>
        <w:tabs>
          <w:tab w:leader="none" w:pos="1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0"/>
          <w:szCs w:val="20"/>
          <w:u w:val="single" w:color="auto"/>
          <w:color w:val="auto"/>
        </w:rPr>
        <w:t>Exceptions</w:t>
      </w:r>
      <w:r>
        <w:rPr>
          <w:rFonts w:ascii="Arial" w:cs="Arial" w:eastAsia="Arial" w:hAnsi="Arial"/>
          <w:sz w:val="20"/>
          <w:szCs w:val="20"/>
          <w:color w:val="auto"/>
        </w:rPr>
        <w:t>. Except for the pre-clearance restrictions for the Designated Insiders as set forth above in Section 4,</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subsection 3.2, and as otherwise specifically noted, this policy statement does not apply in the case of the following transactions (if applicable to the Company):</w:t>
      </w:r>
    </w:p>
    <w:p>
      <w:pPr>
        <w:spacing w:after="0" w:line="205" w:lineRule="exact"/>
        <w:rPr>
          <w:sz w:val="20"/>
          <w:szCs w:val="20"/>
          <w:color w:val="auto"/>
        </w:rPr>
      </w:pPr>
    </w:p>
    <w:p>
      <w:pPr>
        <w:jc w:val="both"/>
        <w:ind w:left="840" w:hanging="647"/>
        <w:spacing w:after="0" w:line="270" w:lineRule="auto"/>
        <w:rPr>
          <w:sz w:val="20"/>
          <w:szCs w:val="20"/>
          <w:color w:val="auto"/>
        </w:rPr>
      </w:pPr>
      <w:r>
        <w:rPr>
          <w:rFonts w:ascii="Arial" w:cs="Arial" w:eastAsia="Arial" w:hAnsi="Arial"/>
          <w:sz w:val="22"/>
          <w:szCs w:val="22"/>
          <w:color w:val="auto"/>
        </w:rPr>
        <w:t xml:space="preserve">3.4.1. </w:t>
      </w:r>
      <w:r>
        <w:rPr>
          <w:rFonts w:ascii="Arial" w:cs="Arial" w:eastAsia="Arial" w:hAnsi="Arial"/>
          <w:sz w:val="19"/>
          <w:szCs w:val="19"/>
          <w:u w:val="single" w:color="auto"/>
          <w:color w:val="auto"/>
        </w:rPr>
        <w:t>Stock Options and Other Stock-Based Compensation</w:t>
      </w:r>
      <w:r>
        <w:rPr>
          <w:rFonts w:ascii="Arial" w:cs="Arial" w:eastAsia="Arial" w:hAnsi="Arial"/>
          <w:sz w:val="19"/>
          <w:szCs w:val="19"/>
          <w:color w:val="auto"/>
        </w:rPr>
        <w:t>. This exception applies to the exercise of stock</w:t>
      </w:r>
      <w:r>
        <w:rPr>
          <w:rFonts w:ascii="Arial" w:cs="Arial" w:eastAsia="Arial" w:hAnsi="Arial"/>
          <w:sz w:val="22"/>
          <w:szCs w:val="22"/>
          <w:color w:val="auto"/>
        </w:rPr>
        <w:t xml:space="preserve"> </w:t>
      </w:r>
      <w:r>
        <w:rPr>
          <w:rFonts w:ascii="Arial" w:cs="Arial" w:eastAsia="Arial" w:hAnsi="Arial"/>
          <w:sz w:val="19"/>
          <w:szCs w:val="19"/>
          <w:color w:val="auto"/>
        </w:rPr>
        <w:t>options under the Company’s stock option plan. However, any sale of any shares issued upon exercise of the option, including as part of a broker-assisted cashless exercise, would be subject to the restrictions of this policy statement.</w:t>
      </w:r>
    </w:p>
    <w:p>
      <w:pPr>
        <w:sectPr>
          <w:pgSz w:w="11900" w:h="16838" w:orient="portrait"/>
          <w:cols w:equalWidth="0" w:num="1">
            <w:col w:w="10120"/>
          </w:cols>
          <w:pgMar w:left="1440" w:top="1090" w:right="339" w:bottom="1440" w:gutter="0" w:footer="0" w:header="0"/>
        </w:sectPr>
      </w:pPr>
    </w:p>
    <w:bookmarkStart w:id="197" w:name="page198"/>
    <w:bookmarkEnd w:id="197"/>
    <w:p>
      <w:pPr>
        <w:jc w:val="both"/>
        <w:ind w:left="840" w:hanging="647"/>
        <w:spacing w:after="0" w:line="256" w:lineRule="auto"/>
        <w:rPr>
          <w:sz w:val="20"/>
          <w:szCs w:val="20"/>
          <w:color w:val="auto"/>
        </w:rPr>
      </w:pPr>
      <w:r>
        <w:rPr>
          <w:rFonts w:ascii="Arial" w:cs="Arial" w:eastAsia="Arial" w:hAnsi="Arial"/>
          <w:sz w:val="22"/>
          <w:szCs w:val="22"/>
          <w:color w:val="auto"/>
        </w:rPr>
        <w:t xml:space="preserve">3.4.2. </w:t>
      </w:r>
      <w:r>
        <w:rPr>
          <w:rFonts w:ascii="Arial" w:cs="Arial" w:eastAsia="Arial" w:hAnsi="Arial"/>
          <w:sz w:val="19"/>
          <w:szCs w:val="19"/>
          <w:u w:val="single" w:color="auto"/>
          <w:color w:val="auto"/>
        </w:rPr>
        <w:t>Employee Stock Purchase Plan</w:t>
      </w:r>
      <w:r>
        <w:rPr>
          <w:rFonts w:ascii="Arial" w:cs="Arial" w:eastAsia="Arial" w:hAnsi="Arial"/>
          <w:sz w:val="19"/>
          <w:szCs w:val="19"/>
          <w:color w:val="auto"/>
        </w:rPr>
        <w:t>. This exception applies to purchases of Company securities through the</w:t>
      </w:r>
      <w:r>
        <w:rPr>
          <w:rFonts w:ascii="Arial" w:cs="Arial" w:eastAsia="Arial" w:hAnsi="Arial"/>
          <w:sz w:val="22"/>
          <w:szCs w:val="22"/>
          <w:color w:val="auto"/>
        </w:rPr>
        <w:t xml:space="preserve"> </w:t>
      </w:r>
      <w:r>
        <w:rPr>
          <w:rFonts w:ascii="Arial" w:cs="Arial" w:eastAsia="Arial" w:hAnsi="Arial"/>
          <w:sz w:val="19"/>
          <w:szCs w:val="19"/>
          <w:color w:val="auto"/>
        </w:rPr>
        <w:t>Company’s Employee Stock Purchase Plan (“</w:t>
      </w:r>
      <w:r>
        <w:rPr>
          <w:rFonts w:ascii="Arial" w:cs="Arial" w:eastAsia="Arial" w:hAnsi="Arial"/>
          <w:sz w:val="19"/>
          <w:szCs w:val="19"/>
          <w:b w:val="1"/>
          <w:bCs w:val="1"/>
          <w:color w:val="auto"/>
        </w:rPr>
        <w:t>ESPP</w:t>
      </w:r>
      <w:r>
        <w:rPr>
          <w:rFonts w:ascii="Arial" w:cs="Arial" w:eastAsia="Arial" w:hAnsi="Arial"/>
          <w:sz w:val="19"/>
          <w:szCs w:val="19"/>
          <w:color w:val="auto"/>
        </w:rPr>
        <w:t>”) by means of a periodic contribution or lump-sum contribution of money to the plan pursuant to an election made at the time of enrollment in the ESPP. Sales of Company securities acquired through the ESPP are, however, subject to the restrictions of this policy statement.</w:t>
      </w:r>
    </w:p>
    <w:p>
      <w:pPr>
        <w:spacing w:after="0" w:line="192" w:lineRule="exact"/>
        <w:rPr>
          <w:sz w:val="20"/>
          <w:szCs w:val="20"/>
          <w:color w:val="auto"/>
        </w:rPr>
      </w:pPr>
    </w:p>
    <w:p>
      <w:pPr>
        <w:jc w:val="both"/>
        <w:ind w:left="840" w:hanging="647"/>
        <w:spacing w:after="0" w:line="270" w:lineRule="auto"/>
        <w:rPr>
          <w:sz w:val="20"/>
          <w:szCs w:val="20"/>
          <w:color w:val="auto"/>
        </w:rPr>
      </w:pPr>
      <w:r>
        <w:rPr>
          <w:rFonts w:ascii="Arial" w:cs="Arial" w:eastAsia="Arial" w:hAnsi="Arial"/>
          <w:sz w:val="22"/>
          <w:szCs w:val="22"/>
          <w:color w:val="auto"/>
        </w:rPr>
        <w:t xml:space="preserve">3.4.3. </w:t>
      </w:r>
      <w:r>
        <w:rPr>
          <w:rFonts w:ascii="Arial" w:cs="Arial" w:eastAsia="Arial" w:hAnsi="Arial"/>
          <w:sz w:val="19"/>
          <w:szCs w:val="19"/>
          <w:u w:val="single" w:color="auto"/>
          <w:color w:val="auto"/>
        </w:rPr>
        <w:t>401(k) Plan</w:t>
      </w:r>
      <w:r>
        <w:rPr>
          <w:rFonts w:ascii="Arial" w:cs="Arial" w:eastAsia="Arial" w:hAnsi="Arial"/>
          <w:sz w:val="19"/>
          <w:szCs w:val="19"/>
          <w:color w:val="auto"/>
        </w:rPr>
        <w:t>. This exception applies to purchases or sales of Company securities in the Company’s 401(k)</w:t>
      </w:r>
      <w:r>
        <w:rPr>
          <w:rFonts w:ascii="Arial" w:cs="Arial" w:eastAsia="Arial" w:hAnsi="Arial"/>
          <w:sz w:val="22"/>
          <w:szCs w:val="22"/>
          <w:color w:val="auto"/>
        </w:rPr>
        <w:t xml:space="preserve"> </w:t>
      </w:r>
      <w:r>
        <w:rPr>
          <w:rFonts w:ascii="Arial" w:cs="Arial" w:eastAsia="Arial" w:hAnsi="Arial"/>
          <w:sz w:val="19"/>
          <w:szCs w:val="19"/>
          <w:color w:val="auto"/>
        </w:rPr>
        <w:t>plan resulting from an insider’s periodic contribution of money to the plan pursuant to the insider’s payroll deduction election. This exception does not apply, however, to certain elections the insider may make under the 401(k) plan, including:</w:t>
      </w:r>
    </w:p>
    <w:p>
      <w:pPr>
        <w:spacing w:after="0" w:line="166" w:lineRule="exact"/>
        <w:rPr>
          <w:sz w:val="20"/>
          <w:szCs w:val="20"/>
          <w:color w:val="auto"/>
        </w:rPr>
      </w:pPr>
    </w:p>
    <w:p>
      <w:pPr>
        <w:ind w:left="1480" w:hanging="647"/>
        <w:spacing w:after="0" w:line="286" w:lineRule="auto"/>
        <w:rPr>
          <w:sz w:val="20"/>
          <w:szCs w:val="20"/>
          <w:color w:val="auto"/>
        </w:rPr>
      </w:pPr>
      <w:r>
        <w:rPr>
          <w:rFonts w:ascii="Arial" w:cs="Arial" w:eastAsia="Arial" w:hAnsi="Arial"/>
          <w:sz w:val="22"/>
          <w:szCs w:val="22"/>
          <w:color w:val="auto"/>
        </w:rPr>
        <w:t>3.4.3.1.</w:t>
      </w:r>
      <w:r>
        <w:rPr>
          <w:sz w:val="20"/>
          <w:szCs w:val="20"/>
          <w:color w:val="auto"/>
        </w:rPr>
        <w:t xml:space="preserve"> </w:t>
      </w:r>
      <w:r>
        <w:rPr>
          <w:rFonts w:ascii="Arial" w:cs="Arial" w:eastAsia="Arial" w:hAnsi="Arial"/>
          <w:sz w:val="20"/>
          <w:szCs w:val="20"/>
          <w:color w:val="auto"/>
        </w:rPr>
        <w:t>an election to increase or decrease the percentage of the insider’s periodic contributions that will be allocated to the Company stock fund;</w:t>
      </w:r>
    </w:p>
    <w:p>
      <w:pPr>
        <w:spacing w:after="0" w:line="181" w:lineRule="exact"/>
        <w:rPr>
          <w:sz w:val="20"/>
          <w:szCs w:val="20"/>
          <w:color w:val="auto"/>
        </w:rPr>
      </w:pPr>
    </w:p>
    <w:p>
      <w:pPr>
        <w:ind w:left="1480" w:right="20" w:hanging="647"/>
        <w:spacing w:after="0" w:line="271" w:lineRule="auto"/>
        <w:rPr>
          <w:sz w:val="20"/>
          <w:szCs w:val="20"/>
          <w:color w:val="auto"/>
        </w:rPr>
      </w:pPr>
      <w:r>
        <w:rPr>
          <w:rFonts w:ascii="Arial" w:cs="Arial" w:eastAsia="Arial" w:hAnsi="Arial"/>
          <w:sz w:val="22"/>
          <w:szCs w:val="22"/>
          <w:color w:val="auto"/>
        </w:rPr>
        <w:t>3.4.3.2.</w:t>
      </w:r>
      <w:r>
        <w:rPr>
          <w:sz w:val="20"/>
          <w:szCs w:val="20"/>
          <w:color w:val="auto"/>
        </w:rPr>
        <w:t xml:space="preserve"> </w:t>
      </w:r>
      <w:r>
        <w:rPr>
          <w:rFonts w:ascii="Arial" w:cs="Arial" w:eastAsia="Arial" w:hAnsi="Arial"/>
          <w:sz w:val="20"/>
          <w:szCs w:val="20"/>
          <w:color w:val="auto"/>
        </w:rPr>
        <w:t>an election to make an intra-plan transfer of an existing account balance into or out of the Company stock fund;</w:t>
      </w:r>
    </w:p>
    <w:p>
      <w:pPr>
        <w:spacing w:after="0" w:line="196" w:lineRule="exact"/>
        <w:rPr>
          <w:sz w:val="20"/>
          <w:szCs w:val="20"/>
          <w:color w:val="auto"/>
        </w:rPr>
      </w:pPr>
    </w:p>
    <w:p>
      <w:pPr>
        <w:ind w:left="1480" w:right="20" w:hanging="647"/>
        <w:spacing w:after="0" w:line="271" w:lineRule="auto"/>
        <w:rPr>
          <w:sz w:val="20"/>
          <w:szCs w:val="20"/>
          <w:color w:val="auto"/>
        </w:rPr>
      </w:pPr>
      <w:r>
        <w:rPr>
          <w:rFonts w:ascii="Arial" w:cs="Arial" w:eastAsia="Arial" w:hAnsi="Arial"/>
          <w:sz w:val="22"/>
          <w:szCs w:val="22"/>
          <w:color w:val="auto"/>
        </w:rPr>
        <w:t>3.4.3.3.</w:t>
      </w:r>
      <w:r>
        <w:rPr>
          <w:sz w:val="20"/>
          <w:szCs w:val="20"/>
          <w:color w:val="auto"/>
        </w:rPr>
        <w:t xml:space="preserve"> </w:t>
      </w:r>
      <w:r>
        <w:rPr>
          <w:rFonts w:ascii="Arial" w:cs="Arial" w:eastAsia="Arial" w:hAnsi="Arial"/>
          <w:sz w:val="20"/>
          <w:szCs w:val="20"/>
          <w:color w:val="auto"/>
        </w:rPr>
        <w:t>an election to borrow money against the insider’s 401(k) plan account if the loan will result in a liquidation of some or all of the insider’s Company stock fund balance; and</w:t>
      </w:r>
    </w:p>
    <w:p>
      <w:pPr>
        <w:spacing w:after="0" w:line="196" w:lineRule="exact"/>
        <w:rPr>
          <w:sz w:val="20"/>
          <w:szCs w:val="20"/>
          <w:color w:val="auto"/>
        </w:rPr>
      </w:pPr>
    </w:p>
    <w:p>
      <w:pPr>
        <w:ind w:left="1480" w:right="20" w:hanging="647"/>
        <w:spacing w:after="0" w:line="286" w:lineRule="auto"/>
        <w:rPr>
          <w:sz w:val="20"/>
          <w:szCs w:val="20"/>
          <w:color w:val="auto"/>
        </w:rPr>
      </w:pPr>
      <w:r>
        <w:rPr>
          <w:rFonts w:ascii="Arial" w:cs="Arial" w:eastAsia="Arial" w:hAnsi="Arial"/>
          <w:sz w:val="22"/>
          <w:szCs w:val="22"/>
          <w:color w:val="auto"/>
        </w:rPr>
        <w:t>3.4.3.4.</w:t>
      </w:r>
      <w:r>
        <w:rPr>
          <w:sz w:val="20"/>
          <w:szCs w:val="20"/>
          <w:color w:val="auto"/>
        </w:rPr>
        <w:t xml:space="preserve"> </w:t>
      </w:r>
      <w:r>
        <w:rPr>
          <w:rFonts w:ascii="Arial" w:cs="Arial" w:eastAsia="Arial" w:hAnsi="Arial"/>
          <w:sz w:val="20"/>
          <w:szCs w:val="20"/>
          <w:color w:val="auto"/>
        </w:rPr>
        <w:t>an election to pre-pay a plan loan if the pre-payment will result in allocation of loan proceeds to the Company stock fund.</w:t>
      </w:r>
    </w:p>
    <w:p>
      <w:pPr>
        <w:spacing w:after="0" w:line="167" w:lineRule="exact"/>
        <w:rPr>
          <w:sz w:val="20"/>
          <w:szCs w:val="20"/>
          <w:color w:val="auto"/>
        </w:rPr>
      </w:pPr>
    </w:p>
    <w:p>
      <w:pPr>
        <w:jc w:val="both"/>
        <w:ind w:left="840" w:hanging="647"/>
        <w:spacing w:after="0" w:line="265" w:lineRule="auto"/>
        <w:rPr>
          <w:sz w:val="20"/>
          <w:szCs w:val="20"/>
          <w:color w:val="auto"/>
        </w:rPr>
      </w:pPr>
      <w:r>
        <w:rPr>
          <w:rFonts w:ascii="Arial" w:cs="Arial" w:eastAsia="Arial" w:hAnsi="Arial"/>
          <w:sz w:val="22"/>
          <w:szCs w:val="22"/>
          <w:color w:val="auto"/>
        </w:rPr>
        <w:t xml:space="preserve">3.4.4. </w:t>
      </w:r>
      <w:r>
        <w:rPr>
          <w:rFonts w:ascii="Arial" w:cs="Arial" w:eastAsia="Arial" w:hAnsi="Arial"/>
          <w:sz w:val="19"/>
          <w:szCs w:val="19"/>
          <w:u w:val="single" w:color="auto"/>
          <w:color w:val="auto"/>
        </w:rPr>
        <w:t>Automatic Reinvestment in Dividends</w:t>
      </w:r>
      <w:r>
        <w:rPr>
          <w:rFonts w:ascii="Arial" w:cs="Arial" w:eastAsia="Arial" w:hAnsi="Arial"/>
          <w:sz w:val="19"/>
          <w:szCs w:val="19"/>
          <w:color w:val="auto"/>
        </w:rPr>
        <w:t>. This exception applies to the automatic reinvestment of dividends</w:t>
      </w:r>
      <w:r>
        <w:rPr>
          <w:rFonts w:ascii="Arial" w:cs="Arial" w:eastAsia="Arial" w:hAnsi="Arial"/>
          <w:sz w:val="22"/>
          <w:szCs w:val="22"/>
          <w:color w:val="auto"/>
        </w:rPr>
        <w:t xml:space="preserve"> </w:t>
      </w:r>
      <w:r>
        <w:rPr>
          <w:rFonts w:ascii="Arial" w:cs="Arial" w:eastAsia="Arial" w:hAnsi="Arial"/>
          <w:sz w:val="19"/>
          <w:szCs w:val="19"/>
          <w:color w:val="auto"/>
        </w:rPr>
        <w:t>paid on Company securities. This exception does not apply, however, to (i) voluntary, additional purchases of Company securities resulting from automatic reinvestment of dividends, (ii) an insider’s election to participate in automatic reinvestment of dividends, and (iii) an insider’s election to increase or decrease the insider’s level of automatic reinvestment of dividends.</w:t>
      </w:r>
    </w:p>
    <w:p>
      <w:pPr>
        <w:spacing w:after="0" w:line="187" w:lineRule="exact"/>
        <w:rPr>
          <w:sz w:val="20"/>
          <w:szCs w:val="20"/>
          <w:color w:val="auto"/>
        </w:rPr>
      </w:pPr>
    </w:p>
    <w:p>
      <w:pPr>
        <w:jc w:val="both"/>
        <w:ind w:left="840" w:hanging="647"/>
        <w:spacing w:after="0" w:line="267" w:lineRule="auto"/>
        <w:rPr>
          <w:sz w:val="20"/>
          <w:szCs w:val="20"/>
          <w:color w:val="auto"/>
        </w:rPr>
      </w:pPr>
      <w:r>
        <w:rPr>
          <w:rFonts w:ascii="Arial" w:cs="Arial" w:eastAsia="Arial" w:hAnsi="Arial"/>
          <w:sz w:val="22"/>
          <w:szCs w:val="22"/>
          <w:color w:val="auto"/>
        </w:rPr>
        <w:t xml:space="preserve">3.4.5. </w:t>
      </w:r>
      <w:r>
        <w:rPr>
          <w:rFonts w:ascii="Arial" w:cs="Arial" w:eastAsia="Arial" w:hAnsi="Arial"/>
          <w:sz w:val="19"/>
          <w:szCs w:val="19"/>
          <w:u w:val="single" w:color="auto"/>
          <w:color w:val="auto"/>
        </w:rPr>
        <w:t>Trading Pursuant to Safe Harbor Insider Trading Plans</w:t>
      </w:r>
      <w:r>
        <w:rPr>
          <w:rFonts w:ascii="Arial" w:cs="Arial" w:eastAsia="Arial" w:hAnsi="Arial"/>
          <w:sz w:val="19"/>
          <w:szCs w:val="19"/>
          <w:color w:val="auto"/>
        </w:rPr>
        <w:t>. This exception applies to transactions made</w:t>
      </w:r>
      <w:r>
        <w:rPr>
          <w:rFonts w:ascii="Arial" w:cs="Arial" w:eastAsia="Arial" w:hAnsi="Arial"/>
          <w:sz w:val="22"/>
          <w:szCs w:val="22"/>
          <w:color w:val="auto"/>
        </w:rPr>
        <w:t xml:space="preserve"> </w:t>
      </w:r>
      <w:r>
        <w:rPr>
          <w:rFonts w:ascii="Arial" w:cs="Arial" w:eastAsia="Arial" w:hAnsi="Arial"/>
          <w:sz w:val="19"/>
          <w:szCs w:val="19"/>
          <w:color w:val="auto"/>
        </w:rPr>
        <w:t>pursuant to an “Approved Rule 105-1 Trading Plan.” A written plan for transacting in the Company’s securities that, at the time it is adopted or modified, conforms to all of the requirements of Rule 10b5-1 of the Exchange Act as then in effect and the requirements of this policy statement is an “</w:t>
      </w:r>
      <w:r>
        <w:rPr>
          <w:rFonts w:ascii="Arial" w:cs="Arial" w:eastAsia="Arial" w:hAnsi="Arial"/>
          <w:sz w:val="19"/>
          <w:szCs w:val="19"/>
          <w:b w:val="1"/>
          <w:bCs w:val="1"/>
          <w:color w:val="auto"/>
        </w:rPr>
        <w:t>Approved Rule</w:t>
      </w:r>
      <w:r>
        <w:rPr>
          <w:rFonts w:ascii="Arial" w:cs="Arial" w:eastAsia="Arial" w:hAnsi="Arial"/>
          <w:sz w:val="19"/>
          <w:szCs w:val="19"/>
          <w:color w:val="auto"/>
        </w:rPr>
        <w:t xml:space="preserve"> </w:t>
      </w:r>
      <w:r>
        <w:rPr>
          <w:rFonts w:ascii="Arial" w:cs="Arial" w:eastAsia="Arial" w:hAnsi="Arial"/>
          <w:sz w:val="19"/>
          <w:szCs w:val="19"/>
          <w:b w:val="1"/>
          <w:bCs w:val="1"/>
          <w:color w:val="auto"/>
        </w:rPr>
        <w:t>10b5-1 Trading Plan</w:t>
      </w:r>
      <w:r>
        <w:rPr>
          <w:rFonts w:ascii="Arial" w:cs="Arial" w:eastAsia="Arial" w:hAnsi="Arial"/>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jc w:val="both"/>
        <w:ind w:left="840"/>
        <w:spacing w:after="0" w:line="254" w:lineRule="auto"/>
        <w:rPr>
          <w:sz w:val="20"/>
          <w:szCs w:val="20"/>
          <w:color w:val="auto"/>
        </w:rPr>
      </w:pPr>
      <w:r>
        <w:rPr>
          <w:rFonts w:ascii="Arial" w:cs="Arial" w:eastAsia="Arial" w:hAnsi="Arial"/>
          <w:sz w:val="20"/>
          <w:szCs w:val="20"/>
          <w:color w:val="auto"/>
        </w:rPr>
        <w:t>Designated Insiders shall submit their trading plans and any proposed modifications to such plans to the Insider Trading Compliance Officer for pre-clearance prior to adoption or modification of such plans. The Company’s Insider Trading Compliance Officer shall have the sole discretion to clear such trading plans and modifications to such plans. All Approved Rule 10b5-1 Trading Plans will be reported to the Company’s board of directors on at least a quarterly basis.</w:t>
      </w:r>
    </w:p>
    <w:p>
      <w:pPr>
        <w:spacing w:after="0" w:line="187" w:lineRule="exact"/>
        <w:rPr>
          <w:sz w:val="20"/>
          <w:szCs w:val="20"/>
          <w:color w:val="auto"/>
        </w:rPr>
      </w:pPr>
    </w:p>
    <w:p>
      <w:pPr>
        <w:jc w:val="both"/>
        <w:ind w:left="840" w:right="20"/>
        <w:spacing w:after="0" w:line="286" w:lineRule="auto"/>
        <w:rPr>
          <w:sz w:val="20"/>
          <w:szCs w:val="20"/>
          <w:color w:val="auto"/>
        </w:rPr>
      </w:pPr>
      <w:r>
        <w:rPr>
          <w:rFonts w:ascii="Arial" w:cs="Arial" w:eastAsia="Arial" w:hAnsi="Arial"/>
          <w:sz w:val="20"/>
          <w:szCs w:val="20"/>
          <w:color w:val="auto"/>
        </w:rPr>
        <w:t>Each individual adopting a trading plan is solely responsible for compliance with Rule 10b5-1 of the Exchange Act and ensuring that the trading plan meets the</w:t>
      </w:r>
    </w:p>
    <w:p>
      <w:pPr>
        <w:sectPr>
          <w:pgSz w:w="11900" w:h="16838" w:orient="portrait"/>
          <w:cols w:equalWidth="0" w:num="1">
            <w:col w:w="10120"/>
          </w:cols>
          <w:pgMar w:left="1440" w:top="1099" w:right="339" w:bottom="1440" w:gutter="0" w:footer="0" w:header="0"/>
        </w:sectPr>
      </w:pPr>
    </w:p>
    <w:bookmarkStart w:id="198" w:name="page199"/>
    <w:bookmarkEnd w:id="198"/>
    <w:p>
      <w:pPr>
        <w:jc w:val="both"/>
        <w:ind w:left="1952"/>
        <w:spacing w:after="0" w:line="254" w:lineRule="auto"/>
        <w:rPr>
          <w:sz w:val="20"/>
          <w:szCs w:val="20"/>
          <w:color w:val="auto"/>
        </w:rPr>
      </w:pPr>
      <w:r>
        <w:rPr>
          <w:rFonts w:ascii="Arial" w:cs="Arial" w:eastAsia="Arial" w:hAnsi="Arial"/>
          <w:sz w:val="20"/>
          <w:szCs w:val="20"/>
          <w:color w:val="auto"/>
        </w:rPr>
        <w:t>other conditions set forth above. The Company may, in the sole discretion of the Insider Trading Compliance Officer, upon the advice of counsel if sought by the Insider Trading Compliance Officer, determine that any proposed Rule 10b5-1 trading plan is inconsistent with the Company’s policies and is not an Approved Rule 10b5-1 Trading Plan that is exempt from the transaction window and pre-clearance requirements set forth above. The Company strongly recommends that a person seeking to adopt or modify a Rule 10b5-1 trading plan consult an attorney prior to the adoption or modification of such a trading plan.</w:t>
      </w:r>
    </w:p>
    <w:p>
      <w:pPr>
        <w:spacing w:after="0" w:line="181" w:lineRule="exact"/>
        <w:rPr>
          <w:sz w:val="20"/>
          <w:szCs w:val="20"/>
          <w:color w:val="auto"/>
        </w:rPr>
      </w:pPr>
    </w:p>
    <w:p>
      <w:pPr>
        <w:jc w:val="both"/>
        <w:ind w:left="1952" w:hanging="647"/>
        <w:spacing w:after="0" w:line="264" w:lineRule="auto"/>
        <w:rPr>
          <w:sz w:val="20"/>
          <w:szCs w:val="20"/>
          <w:color w:val="auto"/>
        </w:rPr>
      </w:pPr>
      <w:r>
        <w:rPr>
          <w:rFonts w:ascii="Arial" w:cs="Arial" w:eastAsia="Arial" w:hAnsi="Arial"/>
          <w:sz w:val="22"/>
          <w:szCs w:val="22"/>
          <w:color w:val="auto"/>
        </w:rPr>
        <w:t xml:space="preserve">3.4.6. </w:t>
      </w:r>
      <w:r>
        <w:rPr>
          <w:rFonts w:ascii="Arial" w:cs="Arial" w:eastAsia="Arial" w:hAnsi="Arial"/>
          <w:sz w:val="19"/>
          <w:szCs w:val="19"/>
          <w:u w:val="single" w:color="auto"/>
          <w:color w:val="auto"/>
        </w:rPr>
        <w:t>Cancellation of Shares in Settlement of Withholding Tax Obligations</w:t>
      </w:r>
      <w:r>
        <w:rPr>
          <w:rFonts w:ascii="Arial" w:cs="Arial" w:eastAsia="Arial" w:hAnsi="Arial"/>
          <w:sz w:val="19"/>
          <w:szCs w:val="19"/>
          <w:color w:val="auto"/>
        </w:rPr>
        <w:t>. If the terms of the plan or award</w:t>
      </w:r>
      <w:r>
        <w:rPr>
          <w:rFonts w:ascii="Arial" w:cs="Arial" w:eastAsia="Arial" w:hAnsi="Arial"/>
          <w:sz w:val="22"/>
          <w:szCs w:val="22"/>
          <w:color w:val="auto"/>
        </w:rPr>
        <w:t xml:space="preserve"> </w:t>
      </w:r>
      <w:r>
        <w:rPr>
          <w:rFonts w:ascii="Arial" w:cs="Arial" w:eastAsia="Arial" w:hAnsi="Arial"/>
          <w:sz w:val="19"/>
          <w:szCs w:val="19"/>
          <w:color w:val="auto"/>
        </w:rPr>
        <w:t>under which stock options, stock purchase rights or restricted stock units have been granted authorize the Company to withhold and cancel shares issuable upon the exercise or vesting of the award solely to satisfy an employee-recipient’s liability for federal, state and other income and payroll tax withholding obligations and a proper written irrevocable election authorizing such withholding and cancellation has been delivered to the Company by the employee-recipient, the issuance of the “</w:t>
      </w:r>
      <w:r>
        <w:rPr>
          <w:rFonts w:ascii="Arial" w:cs="Arial" w:eastAsia="Arial" w:hAnsi="Arial"/>
          <w:sz w:val="19"/>
          <w:szCs w:val="19"/>
          <w:b w:val="1"/>
          <w:bCs w:val="1"/>
          <w:color w:val="auto"/>
        </w:rPr>
        <w:t>net</w:t>
      </w:r>
      <w:r>
        <w:rPr>
          <w:rFonts w:ascii="Arial" w:cs="Arial" w:eastAsia="Arial" w:hAnsi="Arial"/>
          <w:sz w:val="19"/>
          <w:szCs w:val="19"/>
          <w:color w:val="auto"/>
        </w:rPr>
        <w:t>” number of shares by the Company to the employee-recipient shall be a permitted transaction during a Scheduled or Unscheduled Black-out Period under this policy statement and the withholding and cancellation of shares for this purpose shall constitute an exception to this policy statement.</w:t>
      </w:r>
    </w:p>
    <w:p>
      <w:pPr>
        <w:spacing w:after="0" w:line="189" w:lineRule="exact"/>
        <w:rPr>
          <w:sz w:val="20"/>
          <w:szCs w:val="20"/>
          <w:color w:val="auto"/>
        </w:rPr>
      </w:pPr>
    </w:p>
    <w:p>
      <w:pPr>
        <w:jc w:val="both"/>
        <w:ind w:left="1952" w:hanging="647"/>
        <w:spacing w:after="0" w:line="263" w:lineRule="auto"/>
        <w:rPr>
          <w:sz w:val="20"/>
          <w:szCs w:val="20"/>
          <w:color w:val="auto"/>
        </w:rPr>
      </w:pPr>
      <w:r>
        <w:rPr>
          <w:rFonts w:ascii="Arial" w:cs="Arial" w:eastAsia="Arial" w:hAnsi="Arial"/>
          <w:sz w:val="22"/>
          <w:szCs w:val="22"/>
          <w:color w:val="auto"/>
        </w:rPr>
        <w:t xml:space="preserve">3.4.7. </w:t>
      </w:r>
      <w:r>
        <w:rPr>
          <w:rFonts w:ascii="Arial" w:cs="Arial" w:eastAsia="Arial" w:hAnsi="Arial"/>
          <w:sz w:val="19"/>
          <w:szCs w:val="19"/>
          <w:u w:val="single" w:color="auto"/>
          <w:color w:val="auto"/>
        </w:rPr>
        <w:t>Certain Transactions with the Company</w:t>
      </w:r>
      <w:r>
        <w:rPr>
          <w:rFonts w:ascii="Arial" w:cs="Arial" w:eastAsia="Arial" w:hAnsi="Arial"/>
          <w:sz w:val="19"/>
          <w:szCs w:val="19"/>
          <w:color w:val="auto"/>
        </w:rPr>
        <w:t>. This exception applies to acquisitions of the Company’s</w:t>
      </w:r>
      <w:r>
        <w:rPr>
          <w:rFonts w:ascii="Arial" w:cs="Arial" w:eastAsia="Arial" w:hAnsi="Arial"/>
          <w:sz w:val="22"/>
          <w:szCs w:val="22"/>
          <w:color w:val="auto"/>
        </w:rPr>
        <w:t xml:space="preserve"> </w:t>
      </w:r>
      <w:r>
        <w:rPr>
          <w:rFonts w:ascii="Arial" w:cs="Arial" w:eastAsia="Arial" w:hAnsi="Arial"/>
          <w:sz w:val="19"/>
          <w:szCs w:val="19"/>
          <w:color w:val="auto"/>
        </w:rPr>
        <w:t>securities from the Company, and dispositions of the Company’s securities to the Company. This exception is limited to transactions that could be exempt under SEC Rule 16b-3(d) and (e) if the transaction had involved a Section 16 Individual, without regard to the board of directors and stockholder approval requirements of the rule. This exception will not prevent the Company from determining in any situation that it will not allow a transaction involving an acquisition of securities from, or disposition of securities to, the Company.</w:t>
      </w:r>
    </w:p>
    <w:p>
      <w:pPr>
        <w:spacing w:after="0" w:line="200" w:lineRule="exact"/>
        <w:rPr>
          <w:sz w:val="20"/>
          <w:szCs w:val="20"/>
          <w:color w:val="auto"/>
        </w:rPr>
      </w:pPr>
    </w:p>
    <w:p>
      <w:pPr>
        <w:spacing w:after="0" w:line="229" w:lineRule="exact"/>
        <w:rPr>
          <w:sz w:val="20"/>
          <w:szCs w:val="20"/>
          <w:color w:val="auto"/>
        </w:rPr>
      </w:pPr>
    </w:p>
    <w:p>
      <w:pPr>
        <w:jc w:val="both"/>
        <w:ind w:left="1952" w:right="20" w:hanging="647"/>
        <w:spacing w:after="0" w:line="281" w:lineRule="auto"/>
        <w:rPr>
          <w:sz w:val="20"/>
          <w:szCs w:val="20"/>
          <w:color w:val="auto"/>
        </w:rPr>
      </w:pPr>
      <w:r>
        <w:rPr>
          <w:rFonts w:ascii="Arial" w:cs="Arial" w:eastAsia="Arial" w:hAnsi="Arial"/>
          <w:sz w:val="22"/>
          <w:szCs w:val="22"/>
          <w:color w:val="auto"/>
        </w:rPr>
        <w:t xml:space="preserve">3.4.8. </w:t>
      </w:r>
      <w:r>
        <w:rPr>
          <w:rFonts w:ascii="Arial" w:cs="Arial" w:eastAsia="Arial" w:hAnsi="Arial"/>
          <w:sz w:val="19"/>
          <w:szCs w:val="19"/>
          <w:u w:val="single" w:color="auto"/>
          <w:color w:val="auto"/>
        </w:rPr>
        <w:t>Diversified Mutual Funds</w:t>
      </w:r>
      <w:r>
        <w:rPr>
          <w:rFonts w:ascii="Arial" w:cs="Arial" w:eastAsia="Arial" w:hAnsi="Arial"/>
          <w:sz w:val="19"/>
          <w:szCs w:val="19"/>
          <w:color w:val="auto"/>
        </w:rPr>
        <w:t>. This exception applies to transactions in diversified mutual funds that are</w:t>
      </w:r>
      <w:r>
        <w:rPr>
          <w:rFonts w:ascii="Arial" w:cs="Arial" w:eastAsia="Arial" w:hAnsi="Arial"/>
          <w:sz w:val="22"/>
          <w:szCs w:val="22"/>
          <w:color w:val="auto"/>
        </w:rPr>
        <w:t xml:space="preserve"> </w:t>
      </w:r>
      <w:r>
        <w:rPr>
          <w:rFonts w:ascii="Arial" w:cs="Arial" w:eastAsia="Arial" w:hAnsi="Arial"/>
          <w:sz w:val="19"/>
          <w:szCs w:val="19"/>
          <w:color w:val="auto"/>
        </w:rPr>
        <w:t>invested in Company securities.</w:t>
      </w:r>
    </w:p>
    <w:p>
      <w:pPr>
        <w:spacing w:after="0" w:line="164" w:lineRule="exact"/>
        <w:rPr>
          <w:sz w:val="20"/>
          <w:szCs w:val="20"/>
          <w:color w:val="auto"/>
        </w:rPr>
      </w:pPr>
    </w:p>
    <w:p>
      <w:pPr>
        <w:jc w:val="both"/>
        <w:ind w:left="1952" w:right="20" w:hanging="647"/>
        <w:spacing w:after="0" w:line="281" w:lineRule="auto"/>
        <w:rPr>
          <w:sz w:val="20"/>
          <w:szCs w:val="20"/>
          <w:color w:val="auto"/>
        </w:rPr>
      </w:pPr>
      <w:r>
        <w:rPr>
          <w:rFonts w:ascii="Arial" w:cs="Arial" w:eastAsia="Arial" w:hAnsi="Arial"/>
          <w:sz w:val="22"/>
          <w:szCs w:val="22"/>
          <w:color w:val="auto"/>
        </w:rPr>
        <w:t xml:space="preserve">3.4.9. </w:t>
      </w:r>
      <w:r>
        <w:rPr>
          <w:rFonts w:ascii="Arial" w:cs="Arial" w:eastAsia="Arial" w:hAnsi="Arial"/>
          <w:sz w:val="19"/>
          <w:szCs w:val="19"/>
          <w:u w:val="single" w:color="auto"/>
          <w:color w:val="auto"/>
        </w:rPr>
        <w:t>Specifically Approved Transactions</w:t>
      </w:r>
      <w:r>
        <w:rPr>
          <w:rFonts w:ascii="Arial" w:cs="Arial" w:eastAsia="Arial" w:hAnsi="Arial"/>
          <w:sz w:val="19"/>
          <w:szCs w:val="19"/>
          <w:color w:val="auto"/>
        </w:rPr>
        <w:t>. This exception applies to any transaction specifically approved in</w:t>
      </w:r>
      <w:r>
        <w:rPr>
          <w:rFonts w:ascii="Arial" w:cs="Arial" w:eastAsia="Arial" w:hAnsi="Arial"/>
          <w:sz w:val="22"/>
          <w:szCs w:val="22"/>
          <w:color w:val="auto"/>
        </w:rPr>
        <w:t xml:space="preserve"> </w:t>
      </w:r>
      <w:r>
        <w:rPr>
          <w:rFonts w:ascii="Arial" w:cs="Arial" w:eastAsia="Arial" w:hAnsi="Arial"/>
          <w:sz w:val="19"/>
          <w:szCs w:val="19"/>
          <w:color w:val="auto"/>
        </w:rPr>
        <w:t>writing in advance by the Insider Trading Compliance Officer.</w:t>
      </w:r>
    </w:p>
    <w:p>
      <w:pPr>
        <w:spacing w:after="0" w:line="182" w:lineRule="exact"/>
        <w:rPr>
          <w:sz w:val="20"/>
          <w:szCs w:val="20"/>
          <w:color w:val="auto"/>
        </w:rPr>
      </w:pPr>
    </w:p>
    <w:p>
      <w:pPr>
        <w:jc w:val="both"/>
        <w:ind w:left="652" w:hanging="652"/>
        <w:spacing w:after="0" w:line="251" w:lineRule="auto"/>
        <w:tabs>
          <w:tab w:leader="none" w:pos="643" w:val="left"/>
        </w:tabs>
        <w:numPr>
          <w:ilvl w:val="0"/>
          <w:numId w:val="206"/>
        </w:numPr>
        <w:rPr>
          <w:rFonts w:ascii="Arial" w:cs="Arial" w:eastAsia="Arial" w:hAnsi="Arial"/>
          <w:sz w:val="22"/>
          <w:szCs w:val="22"/>
          <w:color w:val="auto"/>
        </w:rPr>
      </w:pPr>
      <w:r>
        <w:rPr>
          <w:rFonts w:ascii="Arial" w:cs="Arial" w:eastAsia="Arial" w:hAnsi="Arial"/>
          <w:sz w:val="20"/>
          <w:szCs w:val="20"/>
          <w:u w:val="single" w:color="auto"/>
          <w:color w:val="auto"/>
        </w:rPr>
        <w:t>Conclusion</w:t>
      </w:r>
      <w:r>
        <w:rPr>
          <w:rFonts w:ascii="Arial" w:cs="Arial" w:eastAsia="Arial" w:hAnsi="Arial"/>
          <w:sz w:val="20"/>
          <w:szCs w:val="20"/>
          <w:color w:val="auto"/>
        </w:rPr>
        <w:t xml:space="preserve">. If you have any questions as to whether it would be appropriate for you to transact in securities of the Company, or if you are uncertain as to any of your responsibilities or obligations under the above policies, you should immediately consult with the Insider Trading Compliance Officer for clarification prior to transacting in any Company securities or making any statement. </w:t>
      </w:r>
      <w:r>
        <w:rPr>
          <w:rFonts w:ascii="Arial" w:cs="Arial" w:eastAsia="Arial" w:hAnsi="Arial"/>
          <w:sz w:val="20"/>
          <w:szCs w:val="20"/>
          <w:b w:val="1"/>
          <w:bCs w:val="1"/>
          <w:u w:val="single" w:color="auto"/>
          <w:color w:val="auto"/>
        </w:rPr>
        <w:t>Failure to observe this policy statement may result in serious consequences,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including the termination of your employment or service relationship with the Company</w:t>
      </w:r>
      <w:r>
        <w:rPr>
          <w:rFonts w:ascii="Arial" w:cs="Arial" w:eastAsia="Arial" w:hAnsi="Arial"/>
          <w:sz w:val="20"/>
          <w:szCs w:val="20"/>
          <w:b w:val="1"/>
          <w:bCs w:val="1"/>
          <w:color w:val="auto"/>
        </w:rPr>
        <w:t>.</w:t>
      </w:r>
    </w:p>
    <w:p>
      <w:pPr>
        <w:sectPr>
          <w:pgSz w:w="11900" w:h="16838" w:orient="portrait"/>
          <w:cols w:equalWidth="0" w:num="1">
            <w:col w:w="11232"/>
          </w:cols>
          <w:pgMar w:left="328" w:top="1090" w:right="339" w:bottom="1440" w:gutter="0" w:footer="0" w:header="0"/>
        </w:sectPr>
      </w:pPr>
    </w:p>
    <w:bookmarkStart w:id="199" w:name="page200"/>
    <w:bookmarkEnd w:id="199"/>
    <w:p>
      <w:pPr>
        <w:spacing w:after="0"/>
        <w:rPr>
          <w:sz w:val="20"/>
          <w:szCs w:val="20"/>
          <w:color w:val="auto"/>
        </w:rPr>
      </w:pPr>
      <w:r>
        <w:rPr>
          <w:rFonts w:ascii="Arial" w:cs="Arial" w:eastAsia="Arial" w:hAnsi="Arial"/>
          <w:sz w:val="25"/>
          <w:szCs w:val="25"/>
          <w:b w:val="1"/>
          <w:bCs w:val="1"/>
          <w:color w:val="auto"/>
        </w:rPr>
        <w:t>CERTIFICATION</w:t>
      </w:r>
      <w:r>
        <w:rPr>
          <w:rFonts w:ascii="Arial" w:cs="Arial" w:eastAsia="Arial" w:hAnsi="Arial"/>
          <w:sz w:val="17"/>
          <w:szCs w:val="17"/>
          <w:color w:val="auto"/>
        </w:rPr>
        <w:t>.</w:t>
      </w:r>
    </w:p>
    <w:p>
      <w:pPr>
        <w:spacing w:after="0" w:line="20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All employees and other individuals to whom this policy statement is provided must certify their understanding of, and intent to comply with, this policy statement by signing below.</w:t>
      </w:r>
    </w:p>
    <w:p>
      <w:pPr>
        <w:spacing w:after="0" w:line="18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I, , certify that: (i) I have read and understand the Company’s Insider Trading and Confidentiality Policy Statement set forth above; (ii) I understand that the Insider Trading Compliance Officer is available to answer to any questions I have regarding this policy statement; (iii) since December 9, 2011 or such shorter period of time that I have been a director, employee or consultant of the Company, I have complied with the provisions of this policy statement; (iv) I will continue to comply with the provisions of this policy statement for as long as I am subject to this policy statement; and (v) I understand that my failure to comply in all respects with the provisions of this policy statement is a basis for termination for cause of my employment or other service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-857250</wp:posOffset>
            </wp:positionV>
            <wp:extent cx="1441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Print Name:</w:t>
      </w:r>
    </w:p>
    <w:p>
      <w:pPr>
        <w:spacing w:after="0" w:line="33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580"/>
          </w:cols>
          <w:pgMar w:left="980" w:top="1168"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Subsidiaries as of June 28, 2024</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(100% direct or indirect ownership by Aviat Networks,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18"/>
        </w:trPr>
        <w:tc>
          <w:tcPr>
            <w:tcW w:w="6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Aviat Networks Algeria S.A.R.L.</w:t>
            </w:r>
          </w:p>
        </w:tc>
        <w:tc>
          <w:tcPr>
            <w:tcW w:w="1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Algeria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(Australia) Pty.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(Bangladesh)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NZ Telcoms (Botswana)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Radio Communications and Engineering Services Botswana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Brasil Serviços em Comunicações Ltda.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Canada ULC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Canada ULC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Technology (Shenzhen) Company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Colombia S.A.S.</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LLC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France S.A.S.</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Ghana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HK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(Hungary) Kft.</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(India)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Solusi Komunikasi</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Telekomunikasi Internasional</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Côte d’Ivoire</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Ivory Coast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Japan G.K.</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(Kenya)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Kenya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Malaysia Sdn. Bhd.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Microwave (Mauritius)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México S.A. de C.V.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Holland B.V.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(NZ)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Communication Solutions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Stratex Networks Nigeria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(Pakistan)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(Clark) Corporation</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Philippines, Inc.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Polska Sp. z.o.o.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Redline Communications Romania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4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 Works Saudi Telecom &amp; Information Technology Co.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 Pte.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Storitveno Podjetje, d.o.o.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(South Africa) (Proprietary)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DMC Stratex Networks (South Africa) (Proprietary)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(South Sudan)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Sudan</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(Sweden) AB</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Tanzania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Tanzania</w:t>
            </w:r>
          </w:p>
        </w:tc>
      </w:tr>
    </w:tbl>
    <w:p>
      <w:pPr>
        <w:sectPr>
          <w:pgSz w:w="11900" w:h="16838" w:orient="portrait"/>
          <w:cols w:equalWidth="0" w:num="1">
            <w:col w:w="11020"/>
          </w:cols>
          <w:pgMar w:left="540" w:top="1130"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Aviat Networks (Thailand)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Tunisia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Aviat Networks Turkey Telekominikasyon Sistemleri Limited Sirketi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U.S.,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Telsima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720" w:space="720"/>
            <w:col w:w="3479"/>
          </w:cols>
          <w:pgMar w:left="540" w:top="1026"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333-267592, 333-224957, 333-209462, 333-178467, and 333-163542 on Form S-8 of our reports dated October 4, 2024, relating to the financial statements of Aviat Networks, Inc. (the “Company”) and the effectiveness of the Company's internal control over financial reporting appearing in this Annual Report on Form 10-K for the year ended June 28,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ectPr>
          <w:pgSz w:w="11900" w:h="16838" w:orient="portrait"/>
          <w:cols w:equalWidth="0" w:num="1">
            <w:col w:w="11240"/>
          </w:cols>
          <w:pgMar w:left="320" w:top="142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333-267592, 333-224957, 333-209462, 333-178467 and 333-163542) of Aviat Networks, Inc. of our report dated September 14, 2022, relating to the consolidated financial statements which appears in this Form 10-K.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p>
      <w:pPr>
        <w:sectPr>
          <w:pgSz w:w="11900" w:h="16838" w:orient="portrait"/>
          <w:cols w:equalWidth="0" w:num="1">
            <w:col w:w="11240"/>
          </w:cols>
          <w:pgMar w:left="320" w:top="142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June 28, 2024,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4, 2024</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Connaway, certify that:</w:t>
      </w:r>
    </w:p>
    <w:p>
      <w:pPr>
        <w:spacing w:after="0" w:line="171" w:lineRule="exact"/>
        <w:rPr>
          <w:sz w:val="20"/>
          <w:szCs w:val="20"/>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June 28, 2024,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4, 2024</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Michael Connaway</w:t>
            </w:r>
          </w:p>
        </w:tc>
      </w:tr>
      <w:tr>
        <w:trPr>
          <w:trHeight w:val="180"/>
        </w:trPr>
        <w:tc>
          <w:tcPr>
            <w:tcW w:w="6400" w:type="dxa"/>
            <w:vAlign w:val="bottom"/>
          </w:tcPr>
          <w:p>
            <w:pPr>
              <w:spacing w:after="0"/>
              <w:rPr>
                <w:sz w:val="15"/>
                <w:szCs w:val="15"/>
                <w:color w:val="auto"/>
              </w:rPr>
            </w:pPr>
          </w:p>
        </w:tc>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1350 of Chapter 63 of Title 18 of the United States Code as Adopted Pursuant to Section 906 of the Sarbanes-Oxley Act of 2002</w:t>
      </w:r>
    </w:p>
    <w:p>
      <w:pPr>
        <w:spacing w:after="0" w:line="171"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of Aviat Networks, Inc. (“Aviat Networks”) for the fiscal year ended June 28, 2024, as filed with the Securities and Exchange Commission on the date hereof (the “Report”), the undersigned, Peter A. Smith, the President and Chief Executive Officer, and Michael Connaway, Senior Vice President and Chief Financial Officer, each hereby certifies, pursuant to Section 906 of the Sarbanes-Oxley Act of 2002, 18 U.S.C. §1350, that:</w:t>
      </w:r>
    </w:p>
    <w:p>
      <w:pPr>
        <w:spacing w:after="0" w:line="126"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4, 2024</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594"/>
        </w:trPr>
        <w:tc>
          <w:tcPr>
            <w:tcW w:w="6400" w:type="dxa"/>
            <w:vAlign w:val="bottom"/>
          </w:tcPr>
          <w:p>
            <w:pPr>
              <w:spacing w:after="0"/>
              <w:rPr>
                <w:sz w:val="24"/>
                <w:szCs w:val="24"/>
                <w:color w:val="auto"/>
              </w:rPr>
            </w:pP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Michael Connaway</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207" w:name="page208"/>
    <w:bookmarkEnd w:id="207"/>
    <w:p>
      <w:pPr>
        <w:spacing w:after="0" w:line="7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Incentive-Based Compensation Recoupment Policy</w:t>
      </w:r>
    </w:p>
    <w:p>
      <w:pPr>
        <w:jc w:val="center"/>
        <w:ind w:right="80"/>
        <w:spacing w:after="0"/>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Adopted by the Compensation Committee of the Board of Directors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on August 21, 2023.</w:t>
      </w:r>
    </w:p>
    <w:p>
      <w:pPr>
        <w:spacing w:after="0" w:line="243" w:lineRule="exact"/>
        <w:rPr>
          <w:sz w:val="20"/>
          <w:szCs w:val="20"/>
          <w:color w:val="auto"/>
        </w:rPr>
      </w:pPr>
    </w:p>
    <w:p>
      <w:pPr>
        <w:jc w:val="both"/>
        <w:ind w:firstLine="646"/>
        <w:spacing w:after="0" w:line="254"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If Aviat Networks,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required to prepare a Restatement, the Committee shall,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to be Impracticable, take 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Committee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213" w:lineRule="exact"/>
        <w:rPr>
          <w:rFonts w:ascii="Times New Roman" w:cs="Times New Roman" w:eastAsia="Times New Roman" w:hAnsi="Times New Roman"/>
          <w:sz w:val="20"/>
          <w:szCs w:val="20"/>
          <w:b w:val="1"/>
          <w:bCs w:val="1"/>
          <w:color w:val="auto"/>
        </w:rPr>
      </w:pPr>
    </w:p>
    <w:p>
      <w:pPr>
        <w:jc w:val="both"/>
        <w:ind w:firstLine="646"/>
        <w:spacing w:after="0" w:line="251"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 of Recoupment. </w:t>
      </w:r>
      <w:r>
        <w:rPr>
          <w:rFonts w:ascii="Times New Roman" w:cs="Times New Roman" w:eastAsia="Times New Roman" w:hAnsi="Times New Roman"/>
          <w:sz w:val="20"/>
          <w:szCs w:val="20"/>
          <w:color w:val="auto"/>
        </w:rPr>
        <w:t>Subject to applicable law, the Committee may seek to recoup Recoverable Compensation by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requiring a Covered Person to repay such amount to the Company; (ii) offsetting a Covered Person’s other compensation; or (iii) such other means or combination of means as the Committee, in its sole discretion, determines to be appropriate. 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spacing w:after="0" w:line="203" w:lineRule="exact"/>
        <w:rPr>
          <w:rFonts w:ascii="Times New Roman" w:cs="Times New Roman" w:eastAsia="Times New Roman" w:hAnsi="Times New Roman"/>
          <w:sz w:val="20"/>
          <w:szCs w:val="20"/>
          <w:b w:val="1"/>
          <w:bCs w:val="1"/>
          <w:color w:val="auto"/>
        </w:rPr>
      </w:pPr>
    </w:p>
    <w:p>
      <w:pPr>
        <w:jc w:val="both"/>
        <w:ind w:firstLine="646"/>
        <w:spacing w:after="0" w:line="252"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of Policy. </w:t>
      </w:r>
      <w:r>
        <w:rPr>
          <w:rFonts w:ascii="Times New Roman" w:cs="Times New Roman" w:eastAsia="Times New Roman" w:hAnsi="Times New Roman"/>
          <w:sz w:val="20"/>
          <w:szCs w:val="20"/>
          <w:color w:val="auto"/>
        </w:rPr>
        <w:t>The Committee shall have full authority to administer, amend or terminate this Policy.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shall, subject to the provisions of this Policy, make such determinations and interpretations and take such actions in connection with this Policy as it deems necessary, appropriate or advisable. All determinations and interpretations made by the Committee shall be final, binding and conclusive. 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the rules of any national securities exchange or national securities association on which the Company’s securities are then listed.</w:t>
      </w:r>
    </w:p>
    <w:p>
      <w:pPr>
        <w:spacing w:after="0" w:line="214" w:lineRule="exact"/>
        <w:rPr>
          <w:rFonts w:ascii="Times New Roman" w:cs="Times New Roman" w:eastAsia="Times New Roman" w:hAnsi="Times New Roman"/>
          <w:sz w:val="20"/>
          <w:szCs w:val="20"/>
          <w:b w:val="1"/>
          <w:bCs w:val="1"/>
          <w:color w:val="auto"/>
        </w:rPr>
      </w:pPr>
    </w:p>
    <w:p>
      <w:pPr>
        <w:jc w:val="both"/>
        <w:ind w:firstLine="646"/>
        <w:spacing w:after="0" w:line="263"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 by Executive Officers. </w:t>
      </w:r>
      <w:r>
        <w:rPr>
          <w:rFonts w:ascii="Times New Roman" w:cs="Times New Roman" w:eastAsia="Times New Roman" w:hAnsi="Times New Roman"/>
          <w:sz w:val="20"/>
          <w:szCs w:val="20"/>
          <w:color w:val="auto"/>
        </w:rPr>
        <w:t>The Committee shall provide notice to and seek acknowledgement of this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each Executive Officer in the Company’s policy management platform; provided that the failure to provide such notice or obtain such acknowledgement shall not affect the applicability or enforceability of this Policy.</w:t>
      </w:r>
    </w:p>
    <w:p>
      <w:pPr>
        <w:spacing w:after="0" w:line="202" w:lineRule="exact"/>
        <w:rPr>
          <w:rFonts w:ascii="Times New Roman" w:cs="Times New Roman" w:eastAsia="Times New Roman" w:hAnsi="Times New Roman"/>
          <w:sz w:val="20"/>
          <w:szCs w:val="20"/>
          <w:b w:val="1"/>
          <w:bCs w:val="1"/>
          <w:color w:val="auto"/>
        </w:rPr>
      </w:pPr>
    </w:p>
    <w:p>
      <w:pPr>
        <w:ind w:firstLine="646"/>
        <w:spacing w:after="0" w:line="273"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w:t>
      </w:r>
      <w:r>
        <w:rPr>
          <w:rFonts w:ascii="Times New Roman" w:cs="Times New Roman" w:eastAsia="Times New Roman" w:hAnsi="Times New Roman"/>
          <w:sz w:val="20"/>
          <w:szCs w:val="20"/>
          <w:color w:val="auto"/>
        </w:rPr>
        <w:t>Notwithstanding the terms of any of the Company’s organizational documents, any corporate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contract, the Company shall not indemnify any Covered Person against the loss of any Recoverable Compensation.</w:t>
      </w:r>
    </w:p>
    <w:p>
      <w:pPr>
        <w:spacing w:after="0" w:line="178" w:lineRule="exact"/>
        <w:rPr>
          <w:rFonts w:ascii="Times New Roman" w:cs="Times New Roman" w:eastAsia="Times New Roman" w:hAnsi="Times New Roman"/>
          <w:sz w:val="20"/>
          <w:szCs w:val="20"/>
          <w:b w:val="1"/>
          <w:bCs w:val="1"/>
          <w:color w:val="auto"/>
        </w:rPr>
      </w:pPr>
    </w:p>
    <w:p>
      <w:pPr>
        <w:jc w:val="both"/>
        <w:ind w:firstLine="646"/>
        <w:spacing w:after="0" w:line="263" w:lineRule="auto"/>
        <w:tabs>
          <w:tab w:leader="none" w:pos="1201"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Disclosures and Record Keeping. </w:t>
      </w:r>
      <w:r>
        <w:rPr>
          <w:rFonts w:ascii="Times New Roman" w:cs="Times New Roman" w:eastAsia="Times New Roman" w:hAnsi="Times New Roman"/>
          <w:sz w:val="20"/>
          <w:szCs w:val="20"/>
          <w:color w:val="auto"/>
        </w:rPr>
        <w:t>The Company shall make all disclosures and filings with respect to this Policy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 all documents and records that are required by the applicable rules and forms of the SEC (including, without limitation, Rule 10D-1 under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any applicable exchange listing standard.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420" w:top="1440" w:right="339" w:bottom="1440" w:gutter="0" w:footer="0" w:header="0"/>
        </w:sectPr>
      </w:pPr>
    </w:p>
    <w:bookmarkStart w:id="208" w:name="page209"/>
    <w:bookmarkEnd w:id="208"/>
    <w:p>
      <w:pPr>
        <w:ind w:left="2" w:right="20" w:firstLine="646"/>
        <w:spacing w:after="0" w:line="287" w:lineRule="auto"/>
        <w:tabs>
          <w:tab w:leader="none" w:pos="1204"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construction, and effect of this Policy and any determinations relating to this Policy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in accordance with the laws of the State of Delaware without regard to its conflicts of laws principles.</w:t>
      </w:r>
    </w:p>
    <w:p>
      <w:pPr>
        <w:spacing w:after="0" w:line="178" w:lineRule="exact"/>
        <w:rPr>
          <w:rFonts w:ascii="Times New Roman" w:cs="Times New Roman" w:eastAsia="Times New Roman" w:hAnsi="Times New Roman"/>
          <w:sz w:val="20"/>
          <w:szCs w:val="20"/>
          <w:b w:val="1"/>
          <w:bCs w:val="1"/>
          <w:color w:val="auto"/>
        </w:rPr>
      </w:pPr>
    </w:p>
    <w:p>
      <w:pPr>
        <w:ind w:left="2" w:firstLine="646"/>
        <w:spacing w:after="0" w:line="273" w:lineRule="auto"/>
        <w:tabs>
          <w:tab w:leader="none" w:pos="1204"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Policy shall be binding and enforceable against all Covered Persons and their beneficiaries, heirs,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executors, administrators or other legal representatives.</w:t>
      </w:r>
    </w:p>
    <w:p>
      <w:pPr>
        <w:spacing w:after="0" w:line="178" w:lineRule="exact"/>
        <w:rPr>
          <w:rFonts w:ascii="Times New Roman" w:cs="Times New Roman" w:eastAsia="Times New Roman" w:hAnsi="Times New Roman"/>
          <w:sz w:val="20"/>
          <w:szCs w:val="20"/>
          <w:b w:val="1"/>
          <w:bCs w:val="1"/>
          <w:color w:val="auto"/>
        </w:rPr>
      </w:pPr>
    </w:p>
    <w:p>
      <w:pPr>
        <w:ind w:left="2" w:firstLine="646"/>
        <w:spacing w:after="0" w:line="273" w:lineRule="auto"/>
        <w:tabs>
          <w:tab w:leader="none" w:pos="1204"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In addition to terms otherwise defined in this Policy, the following terms, when used in this Policy,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meanings:</w:t>
      </w:r>
    </w:p>
    <w:p>
      <w:pPr>
        <w:spacing w:after="0" w:line="179"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“Applicable Period” </w:t>
      </w:r>
      <w:r>
        <w:rPr>
          <w:rFonts w:ascii="Times New Roman" w:cs="Times New Roman" w:eastAsia="Times New Roman" w:hAnsi="Times New Roman"/>
          <w:sz w:val="20"/>
          <w:szCs w:val="20"/>
          <w:color w:val="auto"/>
        </w:rPr>
        <w:t>means the three completed fiscal years preceding the earlier of: (i) the date that the Committee, or the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officers of the Company authorized to take such action if Committee action is not required, concludes, or reasonably should have concluded, that the Company is required to prepare a Restatement; or (ii) the date a court, regulator, or other legally authorized body directs the Company to prepare a Restatement.</w:t>
      </w:r>
    </w:p>
    <w:p>
      <w:pPr>
        <w:spacing w:after="0" w:line="197"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0"/>
          <w:szCs w:val="20"/>
          <w:b w:val="1"/>
          <w:bCs w:val="1"/>
          <w:color w:val="auto"/>
        </w:rPr>
        <w:t xml:space="preserve">“Covered Person” </w:t>
      </w:r>
      <w:r>
        <w:rPr>
          <w:rFonts w:ascii="Times New Roman" w:cs="Times New Roman" w:eastAsia="Times New Roman" w:hAnsi="Times New Roman"/>
          <w:sz w:val="20"/>
          <w:szCs w:val="20"/>
          <w:color w:val="auto"/>
        </w:rPr>
        <w:t>means any person who receives Recoverable Compensation.</w:t>
      </w:r>
    </w:p>
    <w:p>
      <w:pPr>
        <w:spacing w:after="0" w:line="229"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“Executive Officer” </w:t>
      </w:r>
      <w:r>
        <w:rPr>
          <w:rFonts w:ascii="Times New Roman" w:cs="Times New Roman" w:eastAsia="Times New Roman" w:hAnsi="Times New Roman"/>
          <w:sz w:val="20"/>
          <w:szCs w:val="20"/>
          <w:color w:val="auto"/>
        </w:rPr>
        <w:t>includes the Company’s president, principal financial officer, principal accounting officer (or if there is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controlled affiliates) who performs similar policy-making functions for the Company, and such other senior employees who may from time to time be deemed subject to this Policy by the Committee.</w:t>
      </w:r>
    </w:p>
    <w:p>
      <w:pPr>
        <w:spacing w:after="0" w:line="214"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“Financial Reporting Measure” </w:t>
      </w:r>
      <w:r>
        <w:rPr>
          <w:rFonts w:ascii="Times New Roman" w:cs="Times New Roman" w:eastAsia="Times New Roman" w:hAnsi="Times New Roman"/>
          <w:sz w:val="20"/>
          <w:szCs w:val="20"/>
          <w:color w:val="auto"/>
        </w:rPr>
        <w:t>means a measure that is determined and presented in accordance with the accounting principles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preparing the Company’s financial statements (including “non- GAAP” financial measures, such as those appearing in earnings releases), and any measure that is derived wholly or in part from such measure. Stock price, market cap and total shareholder return (“</w:t>
      </w:r>
      <w:r>
        <w:rPr>
          <w:rFonts w:ascii="Times New Roman" w:cs="Times New Roman" w:eastAsia="Times New Roman" w:hAnsi="Times New Roman"/>
          <w:sz w:val="20"/>
          <w:szCs w:val="20"/>
          <w:b w:val="1"/>
          <w:bCs w:val="1"/>
          <w:color w:val="auto"/>
        </w:rPr>
        <w:t>TSR</w:t>
      </w:r>
      <w:r>
        <w:rPr>
          <w:rFonts w:ascii="Times New Roman" w:cs="Times New Roman" w:eastAsia="Times New Roman" w:hAnsi="Times New Roman"/>
          <w:sz w:val="20"/>
          <w:szCs w:val="20"/>
          <w:color w:val="auto"/>
        </w:rPr>
        <w:t>”) are Financial Reporting Measures. Examples of additional Financial Reporting Measures include measures based on: revenues, gross margin, operating income, net income financial ratios, EBITDA, liquidity measures, return measures (such as return on assets), profitability of one or more segments.</w:t>
      </w:r>
    </w:p>
    <w:p>
      <w:pPr>
        <w:spacing w:after="0" w:line="214" w:lineRule="exact"/>
        <w:rPr>
          <w:sz w:val="20"/>
          <w:szCs w:val="20"/>
          <w:color w:val="auto"/>
        </w:rPr>
      </w:pPr>
    </w:p>
    <w:p>
      <w:pPr>
        <w:jc w:val="both"/>
        <w:ind w:left="2"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“Impracticable” </w:t>
      </w:r>
      <w:r>
        <w:rPr>
          <w:rFonts w:ascii="Times New Roman" w:cs="Times New Roman" w:eastAsia="Times New Roman" w:hAnsi="Times New Roman"/>
          <w:sz w:val="20"/>
          <w:szCs w:val="20"/>
          <w:color w:val="auto"/>
        </w:rPr>
        <w:t>means, after exercising a normal due process review of all the relevant facts and circumstances and taking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w:t>
      </w:r>
    </w:p>
    <w:p>
      <w:pPr>
        <w:spacing w:after="0" w:line="1" w:lineRule="exact"/>
        <w:rPr>
          <w:sz w:val="20"/>
          <w:szCs w:val="20"/>
          <w:color w:val="auto"/>
        </w:rPr>
      </w:pPr>
    </w:p>
    <w:p>
      <w:pPr>
        <w:jc w:val="both"/>
        <w:ind w:left="2" w:hanging="2"/>
        <w:spacing w:after="0" w:line="251" w:lineRule="auto"/>
        <w:tabs>
          <w:tab w:leader="none" w:pos="29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186" w:lineRule="exact"/>
        <w:rPr>
          <w:sz w:val="20"/>
          <w:szCs w:val="20"/>
          <w:color w:val="auto"/>
        </w:rPr>
      </w:pPr>
    </w:p>
    <w:p>
      <w:pPr>
        <w:ind w:left="2"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“Incentive-Based Compensation” </w:t>
      </w:r>
      <w:r>
        <w:rPr>
          <w:rFonts w:ascii="Times New Roman" w:cs="Times New Roman" w:eastAsia="Times New Roman" w:hAnsi="Times New Roman"/>
          <w:sz w:val="20"/>
          <w:szCs w:val="20"/>
          <w:color w:val="auto"/>
        </w:rPr>
        <w:t>includes any compensation that is granted, earned, or vested based wholly or in part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attainment of a Financial Reporting Measure; however it does not include:</w:t>
      </w:r>
    </w:p>
    <w:p>
      <w:pPr>
        <w:spacing w:after="0" w:line="1" w:lineRule="exact"/>
        <w:rPr>
          <w:sz w:val="20"/>
          <w:szCs w:val="20"/>
          <w:color w:val="auto"/>
        </w:rPr>
      </w:pPr>
    </w:p>
    <w:p>
      <w:pPr>
        <w:ind w:left="2" w:hanging="2"/>
        <w:spacing w:after="0" w:line="253" w:lineRule="auto"/>
        <w:tabs>
          <w:tab w:leader="none" w:pos="25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salaries; (ii) discretionary cash bonuses; (iii) awards (either cash or equity) that are based upon subjective, strategic or operational standards; and (iv) equity awards that vest solely on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2"/>
          </w:cols>
          <w:pgMar w:left="418" w:top="1409" w:right="339" w:bottom="1440" w:gutter="0" w:footer="0" w:header="0"/>
        </w:sectPr>
      </w:pPr>
    </w:p>
    <w:bookmarkStart w:id="209" w:name="page210"/>
    <w:bookmarkEnd w:id="209"/>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Incentive-Based Compensation is deemed “Received” in any Company fiscal period during which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Measure specified in the Incentive-Based Compensation award is attained, even if the payment or grant of the Incentive-Based Compensation occurs after the end of that period.</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“Recoverable Compensation” </w:t>
      </w:r>
      <w:r>
        <w:rPr>
          <w:rFonts w:ascii="Times New Roman" w:cs="Times New Roman" w:eastAsia="Times New Roman" w:hAnsi="Times New Roman"/>
          <w:sz w:val="20"/>
          <w:szCs w:val="20"/>
          <w:color w:val="auto"/>
        </w:rPr>
        <w:t>means all Incentive-Based Compensation (calculated on a pre-tax basis) Received after October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reflected in the Restatement. With respect to Incentive- Based Compensation based on stock price or TSR, when the amount of erroneously awarded compensation is not subject to mathematical recalculation directly from the information in a Restatement, the amount must be based on a reasonable estimate of the effect of the Restatement on the stock price or TSR upon which the Incentive-Based Compensation was received.</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“Restatement” </w:t>
      </w:r>
      <w:r>
        <w:rPr>
          <w:rFonts w:ascii="Times New Roman" w:cs="Times New Roman" w:eastAsia="Times New Roman" w:hAnsi="Times New Roman"/>
          <w:sz w:val="20"/>
          <w:szCs w:val="20"/>
          <w:color w:val="auto"/>
        </w:rPr>
        <w:t>means an accounting restatement of any of the Company’s financial statements due to the Company’s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040"/>
      </w:cols>
      <w:pgMar w:left="4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1."/>
      <w:numFmt w:val="decimal"/>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
      <w:numFmt w:val="bullet"/>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
      <w:numFmt w:val="bullet"/>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1."/>
      <w:numFmt w:val="decimal"/>
      <w:start w:val="4"/>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2C27173B"/>
    <w:multiLevelType w:val="hybridMultilevel"/>
    <w:lvl w:ilvl="0">
      <w:lvlJc w:val="left"/>
      <w:lvlText w:val="•"/>
      <w:numFmt w:val="bullet"/>
      <w:start w:val="1"/>
    </w:lvl>
    <w:lvl w:ilvl="1">
      <w:lvlJc w:val="left"/>
      <w:lvlText w:val="◦"/>
      <w:numFmt w:val="bullet"/>
      <w:start w:val="1"/>
    </w:lvl>
  </w:abstractNum>
  <w:abstractNum w:abstractNumId="24">
    <w:nsid w:val="4C9B0904"/>
    <w:multiLevelType w:val="hybridMultilevel"/>
    <w:lvl w:ilvl="0">
      <w:lvlJc w:val="left"/>
      <w:lvlText w:val="•"/>
      <w:numFmt w:val="bullet"/>
      <w:start w:val="1"/>
    </w:lvl>
    <w:lvl w:ilvl="1">
      <w:lvlJc w:val="left"/>
      <w:lvlText w:val="◦"/>
      <w:numFmt w:val="bullet"/>
      <w:start w:val="1"/>
    </w:lvl>
  </w:abstractNum>
  <w:abstractNum w:abstractNumId="25">
    <w:nsid w:val="6AA7B75C"/>
    <w:multiLevelType w:val="hybridMultilevel"/>
    <w:lvl w:ilvl="0">
      <w:lvlJc w:val="left"/>
      <w:lvlText w:val="(%1)"/>
      <w:numFmt w:val="decimal"/>
      <w:start w:val="3"/>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1."/>
      <w:numFmt w:val="decimal"/>
      <w:start w:val="2"/>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1)"/>
      <w:numFmt w:val="lowerRoman"/>
      <w:start w:val="2"/>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1)"/>
      <w:numFmt w:val="lowerLetter"/>
      <w:start w:val="1"/>
    </w:lvl>
  </w:abstractNum>
  <w:abstractNum w:abstractNumId="33">
    <w:nsid w:val="4F97E3E4"/>
    <w:multiLevelType w:val="hybridMultilevel"/>
    <w:lvl w:ilvl="0">
      <w:lvlJc w:val="left"/>
      <w:lvlText w:val="(%1)"/>
      <w:numFmt w:val="lowerLetter"/>
      <w:start w:val="2"/>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1."/>
      <w:numFmt w:val="decimal"/>
      <w:start w:val="1"/>
    </w:lvl>
    <w:lvl w:ilvl="1">
      <w:lvlJc w:val="left"/>
      <w:lvlText w:val="(%2)"/>
      <w:numFmt w:val="lowerLetter"/>
      <w:start w:val="1"/>
    </w:lvl>
  </w:abstractNum>
  <w:abstractNum w:abstractNumId="38">
    <w:nsid w:val="519E3149"/>
    <w:multiLevelType w:val="hybridMultilevel"/>
    <w:lvl w:ilvl="0">
      <w:lvlJc w:val="left"/>
      <w:lvlText w:val="%1"/>
      <w:numFmt w:val="decimal"/>
      <w:start w:val="1"/>
    </w:lvl>
    <w:lvl w:ilvl="1">
      <w:lvlJc w:val="left"/>
      <w:lvlText w:val="(%2)"/>
      <w:numFmt w:val="lowerLetter"/>
      <w:start w:val="2"/>
    </w:lvl>
  </w:abstractNum>
  <w:abstractNum w:abstractNumId="39">
    <w:nsid w:val="2C6E4AFD"/>
    <w:multiLevelType w:val="hybridMultilevel"/>
    <w:lvl w:ilvl="0">
      <w:lvlJc w:val="left"/>
      <w:lvlText w:val="%1."/>
      <w:numFmt w:val="decimal"/>
      <w:start w:val="4"/>
    </w:lvl>
    <w:lvl w:ilvl="1">
      <w:lvlJc w:val="left"/>
      <w:lvlText w:val="%2"/>
      <w:numFmt w:val="lowerLetter"/>
      <w:start w:val="1"/>
    </w:lvl>
  </w:abstractNum>
  <w:abstractNum w:abstractNumId="40">
    <w:nsid w:val="17A1B5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4DF72E4E"/>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42">
    <w:nsid w:val="5046B5A9"/>
    <w:multiLevelType w:val="hybridMultilevel"/>
    <w:lvl w:ilvl="0">
      <w:lvlJc w:val="left"/>
      <w:lvlText w:val="(%1)"/>
      <w:numFmt w:val="lowerLetter"/>
      <w:start w:val="4"/>
    </w:lvl>
  </w:abstractNum>
  <w:abstractNum w:abstractNumId="43">
    <w:nsid w:val="5D888A0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4">
    <w:nsid w:val="2A082C70"/>
    <w:multiLevelType w:val="hybridMultilevel"/>
    <w:lvl w:ilvl="0">
      <w:lvlJc w:val="left"/>
      <w:lvlText w:val="%1."/>
      <w:numFmt w:val="upperLetter"/>
      <w:start w:val="3"/>
    </w:lvl>
  </w:abstractNum>
  <w:abstractNum w:abstractNumId="45">
    <w:nsid w:val="5EC6AFD4"/>
    <w:multiLevelType w:val="hybridMultilevel"/>
    <w:lvl w:ilvl="0">
      <w:lvlJc w:val="left"/>
      <w:lvlText w:val="%1."/>
      <w:numFmt w:val="lowerRoman"/>
      <w:start w:val="3"/>
    </w:lvl>
  </w:abstractNum>
  <w:abstractNum w:abstractNumId="46">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47">
    <w:nsid w:val="75E0858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48">
    <w:nsid w:val="57A61A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9">
    <w:nsid w:val="5399C654"/>
    <w:multiLevelType w:val="hybridMultilevel"/>
    <w:lvl w:ilvl="0">
      <w:lvlJc w:val="left"/>
      <w:lvlText w:val="(%1)"/>
      <w:numFmt w:val="lowerLetter"/>
      <w:start w:val="2"/>
    </w:lvl>
  </w:abstractNum>
  <w:abstractNum w:abstractNumId="50">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1">
    <w:nsid w:val="4427069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52">
    <w:nsid w:val="B37E80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3">
    <w:nsid w:val="2157F6B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4">
    <w:nsid w:val="704E1DD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57D2F10E"/>
    <w:multiLevelType w:val="hybridMultilevel"/>
    <w:lvl w:ilvl="0">
      <w:lvlJc w:val="left"/>
      <w:lvlText w:val="%1"/>
      <w:numFmt w:val="lowerLetter"/>
      <w:start w:val="1"/>
    </w:lvl>
    <w:lvl w:ilvl="1">
      <w:lvlJc w:val="left"/>
      <w:lvlText w:val="%2."/>
      <w:numFmt w:val="lowerRoman"/>
      <w:start w:val="2"/>
    </w:lvl>
  </w:abstractNum>
  <w:abstractNum w:abstractNumId="56">
    <w:nsid w:val="BFFAE18"/>
    <w:multiLevelType w:val="hybridMultilevel"/>
    <w:lvl w:ilvl="0">
      <w:lvlJc w:val="left"/>
      <w:lvlText w:val="(%1)"/>
      <w:numFmt w:val="lowerLetter"/>
      <w:start w:val="3"/>
    </w:lvl>
    <w:lvl w:ilvl="1">
      <w:lvlJc w:val="left"/>
      <w:lvlText w:val="%2"/>
      <w:numFmt w:val="lowerRoman"/>
      <w:start w:val="1"/>
    </w:lvl>
  </w:abstractNum>
  <w:abstractNum w:abstractNumId="57">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2E48F04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9">
    <w:nsid w:val="49D0FEA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0">
    <w:nsid w:val="4BEE5A5B"/>
    <w:multiLevelType w:val="hybridMultilevel"/>
    <w:lvl w:ilvl="0">
      <w:lvlJc w:val="left"/>
      <w:lvlText w:val="%1."/>
      <w:numFmt w:val="decimal"/>
      <w:start w:val="11"/>
    </w:lvl>
    <w:lvl w:ilvl="1">
      <w:lvlJc w:val="left"/>
      <w:lvlText w:val="(%2)"/>
      <w:numFmt w:val="lowerLetter"/>
      <w:start w:val="1"/>
    </w:lvl>
  </w:abstractNum>
  <w:abstractNum w:abstractNumId="61">
    <w:nsid w:val="5551B9F3"/>
    <w:multiLevelType w:val="hybridMultilevel"/>
    <w:lvl w:ilvl="0">
      <w:lvlJc w:val="left"/>
      <w:lvlText w:val="%1"/>
      <w:numFmt w:val="decimal"/>
      <w:start w:val="1"/>
    </w:lvl>
    <w:lvl w:ilvl="1">
      <w:lvlJc w:val="left"/>
      <w:lvlText w:val="(%2)"/>
      <w:numFmt w:val="lowerLetter"/>
      <w:start w:val="3"/>
    </w:lvl>
  </w:abstractNum>
  <w:abstractNum w:abstractNumId="62">
    <w:nsid w:val="24F6AB8E"/>
    <w:multiLevelType w:val="hybridMultilevel"/>
    <w:lvl w:ilvl="0">
      <w:lvlJc w:val="left"/>
      <w:lvlText w:val="%1."/>
      <w:numFmt w:val="decimal"/>
      <w:start w:val="12"/>
    </w:lvl>
    <w:lvl w:ilvl="1">
      <w:lvlJc w:val="left"/>
      <w:lvlText w:val="%2"/>
      <w:numFmt w:val="lowerLetter"/>
      <w:start w:val="1"/>
    </w:lvl>
  </w:abstractNum>
  <w:abstractNum w:abstractNumId="63">
    <w:nsid w:val="634C574C"/>
    <w:multiLevelType w:val="hybridMultilevel"/>
    <w:lvl w:ilvl="0">
      <w:lvlJc w:val="left"/>
      <w:lvlText w:val="%1."/>
      <w:numFmt w:val="decimal"/>
      <w:start w:val="15"/>
    </w:lvl>
  </w:abstractNum>
  <w:abstractNum w:abstractNumId="64">
    <w:nsid w:val="24E99DD7"/>
    <w:multiLevelType w:val="hybridMultilevel"/>
    <w:lvl w:ilvl="0">
      <w:lvlJc w:val="left"/>
      <w:lvlText w:val="%1"/>
      <w:numFmt w:val="lowerLetter"/>
      <w:start w:val="1"/>
    </w:lvl>
    <w:lvl w:ilvl="1">
      <w:lvlJc w:val="left"/>
      <w:lvlText w:val="%2."/>
      <w:numFmt w:val="decimal"/>
      <w:start w:val="19"/>
    </w:lvl>
  </w:abstractNum>
  <w:abstractNum w:abstractNumId="65">
    <w:nsid w:val="2A31B62D"/>
    <w:multiLevelType w:val="hybridMultilevel"/>
    <w:lvl w:ilvl="0">
      <w:lvlJc w:val="left"/>
      <w:lvlText w:val="(%1)"/>
      <w:numFmt w:val="lowerLetter"/>
      <w:start w:val="3"/>
    </w:lvl>
    <w:lvl w:ilvl="1">
      <w:lvlJc w:val="left"/>
      <w:lvlText w:val="%2."/>
      <w:numFmt w:val="decimal"/>
      <w:start w:val="20"/>
    </w:lvl>
  </w:abstractNum>
  <w:abstractNum w:abstractNumId="66">
    <w:nsid w:val="1849C29B"/>
    <w:multiLevelType w:val="hybridMultilevel"/>
    <w:lvl w:ilvl="0">
      <w:lvlJc w:val="left"/>
      <w:lvlText w:val="%1."/>
      <w:numFmt w:val="decimal"/>
      <w:start w:val="1"/>
    </w:lvl>
  </w:abstractNum>
  <w:abstractNum w:abstractNumId="67">
    <w:nsid w:val="7DFF9D09"/>
    <w:multiLevelType w:val="hybridMultilevel"/>
    <w:lvl w:ilvl="0">
      <w:lvlJc w:val="left"/>
      <w:lvlText w:val="%1"/>
      <w:numFmt w:val="decimal"/>
      <w:start w:val="1"/>
    </w:lvl>
    <w:lvl w:ilvl="1">
      <w:lvlJc w:val="left"/>
      <w:lvlText w:val="%2."/>
      <w:numFmt w:val="decimal"/>
      <w:start w:val="2"/>
    </w:lvl>
  </w:abstractNum>
  <w:abstractNum w:abstractNumId="68">
    <w:nsid w:val="754342"/>
    <w:multiLevelType w:val="hybridMultilevel"/>
    <w:lvl w:ilvl="0">
      <w:lvlJc w:val="left"/>
      <w:lvlText w:val="%1."/>
      <w:numFmt w:val="decimal"/>
      <w:start w:val="21"/>
    </w:lvl>
    <w:lvl w:ilvl="1">
      <w:lvlJc w:val="left"/>
      <w:lvlText w:val="%2"/>
      <w:numFmt w:val="decimal"/>
      <w:start w:val="1"/>
    </w:lvl>
  </w:abstractNum>
  <w:abstractNum w:abstractNumId="69">
    <w:nsid w:val="69E7F3E5"/>
    <w:multiLevelType w:val="hybridMultilevel"/>
    <w:lvl w:ilvl="0">
      <w:lvlJc w:val="left"/>
      <w:lvlText w:val="%1."/>
      <w:numFmt w:val="decimal"/>
      <w:start w:val="24"/>
    </w:lvl>
  </w:abstractNum>
  <w:abstractNum w:abstractNumId="70">
    <w:nsid w:val="2A6DE806"/>
    <w:multiLevelType w:val="hybridMultilevel"/>
    <w:lvl w:ilvl="0">
      <w:lvlJc w:val="left"/>
      <w:lvlText w:val="%1."/>
      <w:numFmt w:val="decimal"/>
      <w:start w:val="1"/>
    </w:lvl>
    <w:lvl w:ilvl="1">
      <w:lvlJc w:val="left"/>
      <w:lvlText w:val="(%2)"/>
      <w:numFmt w:val="lowerLetter"/>
      <w:start w:val="1"/>
    </w:lvl>
  </w:abstractNum>
  <w:abstractNum w:abstractNumId="71">
    <w:nsid w:val="1816F8C4"/>
    <w:multiLevelType w:val="hybridMultilevel"/>
    <w:lvl w:ilvl="0">
      <w:lvlJc w:val="left"/>
      <w:lvlText w:val="%1"/>
      <w:numFmt w:val="decimal"/>
      <w:start w:val="1"/>
    </w:lvl>
    <w:lvl w:ilvl="1">
      <w:lvlJc w:val="left"/>
      <w:lvlText w:val="(%2)"/>
      <w:numFmt w:val="lowerLetter"/>
      <w:start w:val="2"/>
    </w:lvl>
  </w:abstractNum>
  <w:abstractNum w:abstractNumId="72">
    <w:nsid w:val="37DF2233"/>
    <w:multiLevelType w:val="hybridMultilevel"/>
    <w:lvl w:ilvl="0">
      <w:lvlJc w:val="left"/>
      <w:lvlText w:val="%1."/>
      <w:numFmt w:val="decimal"/>
      <w:start w:val="4"/>
    </w:lvl>
    <w:lvl w:ilvl="1">
      <w:lvlJc w:val="left"/>
      <w:lvlText w:val="%2"/>
      <w:numFmt w:val="lowerLetter"/>
      <w:start w:val="1"/>
    </w:lvl>
  </w:abstractNum>
  <w:abstractNum w:abstractNumId="73">
    <w:nsid w:val="7AB49D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759F82CD"/>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75">
    <w:nsid w:val="61E74EA3"/>
    <w:multiLevelType w:val="hybridMultilevel"/>
    <w:lvl w:ilvl="0">
      <w:lvlJc w:val="left"/>
      <w:lvlText w:val="(%1)"/>
      <w:numFmt w:val="lowerLetter"/>
      <w:start w:val="4"/>
    </w:lvl>
  </w:abstractNum>
  <w:abstractNum w:abstractNumId="76">
    <w:nsid w:val="597B4D8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7">
    <w:nsid w:val="F819E7F"/>
    <w:multiLevelType w:val="hybridMultilevel"/>
    <w:lvl w:ilvl="0">
      <w:lvlJc w:val="left"/>
      <w:lvlText w:val="%1."/>
      <w:numFmt w:val="upperLetter"/>
      <w:start w:val="3"/>
    </w:lvl>
  </w:abstractNum>
  <w:abstractNum w:abstractNumId="78">
    <w:nsid w:val="57C7D42D"/>
    <w:multiLevelType w:val="hybridMultilevel"/>
    <w:lvl w:ilvl="0">
      <w:lvlJc w:val="left"/>
      <w:lvlText w:val="%1."/>
      <w:numFmt w:val="lowerRoman"/>
      <w:start w:val="3"/>
    </w:lvl>
  </w:abstractNum>
  <w:abstractNum w:abstractNumId="79">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80">
    <w:nsid w:val="631B64D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81">
    <w:nsid w:val="78B5E77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2">
    <w:nsid w:val="75486E47"/>
    <w:multiLevelType w:val="hybridMultilevel"/>
    <w:lvl w:ilvl="0">
      <w:lvlJc w:val="left"/>
      <w:lvlText w:val="(%1)"/>
      <w:numFmt w:val="lowerLetter"/>
      <w:start w:val="2"/>
    </w:lvl>
  </w:abstractNum>
  <w:abstractNum w:abstractNumId="83">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84">
    <w:nsid w:val="1A0DDE3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5">
    <w:nsid w:val="65968C1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86">
    <w:nsid w:val="46263D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7">
    <w:nsid w:val="260D8C4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8">
    <w:nsid w:val="73D4D3C4"/>
    <w:multiLevelType w:val="hybridMultilevel"/>
    <w:lvl w:ilvl="0">
      <w:lvlJc w:val="left"/>
      <w:lvlText w:val="%1"/>
      <w:numFmt w:val="lowerLetter"/>
      <w:start w:val="1"/>
    </w:lvl>
    <w:lvl w:ilvl="1">
      <w:lvlJc w:val="left"/>
      <w:lvlText w:val="%2."/>
      <w:numFmt w:val="lowerRoman"/>
      <w:start w:val="2"/>
    </w:lvl>
  </w:abstractNum>
  <w:abstractNum w:abstractNumId="89">
    <w:nsid w:val="746F2E30"/>
    <w:multiLevelType w:val="hybridMultilevel"/>
    <w:lvl w:ilvl="0">
      <w:lvlJc w:val="left"/>
      <w:lvlText w:val="(%1)"/>
      <w:numFmt w:val="lowerLetter"/>
      <w:start w:val="3"/>
    </w:lvl>
    <w:lvl w:ilvl="1">
      <w:lvlJc w:val="left"/>
      <w:lvlText w:val="%2"/>
      <w:numFmt w:val="lowerRoman"/>
      <w:start w:val="1"/>
    </w:lvl>
  </w:abstractNum>
  <w:abstractNum w:abstractNumId="90">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3FC32E2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2">
    <w:nsid w:val="49C0E82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3">
    <w:nsid w:val="14D53685"/>
    <w:multiLevelType w:val="hybridMultilevel"/>
    <w:lvl w:ilvl="0">
      <w:lvlJc w:val="left"/>
      <w:lvlText w:val="%1."/>
      <w:numFmt w:val="decimal"/>
      <w:start w:val="11"/>
    </w:lvl>
    <w:lvl w:ilvl="1">
      <w:lvlJc w:val="left"/>
      <w:lvlText w:val="(%2)"/>
      <w:numFmt w:val="lowerLetter"/>
      <w:start w:val="1"/>
    </w:lvl>
  </w:abstractNum>
  <w:abstractNum w:abstractNumId="94">
    <w:nsid w:val="230F856C"/>
    <w:multiLevelType w:val="hybridMultilevel"/>
    <w:lvl w:ilvl="0">
      <w:lvlJc w:val="left"/>
      <w:lvlText w:val="%1"/>
      <w:numFmt w:val="decimal"/>
      <w:start w:val="1"/>
    </w:lvl>
    <w:lvl w:ilvl="1">
      <w:lvlJc w:val="left"/>
      <w:lvlText w:val="(%2)"/>
      <w:numFmt w:val="lowerLetter"/>
      <w:start w:val="3"/>
    </w:lvl>
  </w:abstractNum>
  <w:abstractNum w:abstractNumId="95">
    <w:nsid w:val="6EAA85FB"/>
    <w:multiLevelType w:val="hybridMultilevel"/>
    <w:lvl w:ilvl="0">
      <w:lvlJc w:val="left"/>
      <w:lvlText w:val="%1."/>
      <w:numFmt w:val="decimal"/>
      <w:start w:val="12"/>
    </w:lvl>
    <w:lvl w:ilvl="1">
      <w:lvlJc w:val="left"/>
      <w:lvlText w:val="%2"/>
      <w:numFmt w:val="lowerLetter"/>
      <w:start w:val="1"/>
    </w:lvl>
  </w:abstractNum>
  <w:abstractNum w:abstractNumId="96">
    <w:nsid w:val="3F06ECB2"/>
    <w:multiLevelType w:val="hybridMultilevel"/>
    <w:lvl w:ilvl="0">
      <w:lvlJc w:val="left"/>
      <w:lvlText w:val="%1."/>
      <w:numFmt w:val="decimal"/>
      <w:start w:val="15"/>
    </w:lvl>
  </w:abstractNum>
  <w:abstractNum w:abstractNumId="97">
    <w:nsid w:val="3B594807"/>
    <w:multiLevelType w:val="hybridMultilevel"/>
    <w:lvl w:ilvl="0">
      <w:lvlJc w:val="left"/>
      <w:lvlText w:val="(%1)"/>
      <w:numFmt w:val="lowerLetter"/>
      <w:start w:val="2"/>
    </w:lvl>
    <w:lvl w:ilvl="1">
      <w:lvlJc w:val="left"/>
      <w:lvlText w:val="%2."/>
      <w:numFmt w:val="decimal"/>
      <w:start w:val="20"/>
    </w:lvl>
  </w:abstractNum>
  <w:abstractNum w:abstractNumId="98">
    <w:nsid w:val="6CAA2304"/>
    <w:multiLevelType w:val="hybridMultilevel"/>
    <w:lvl w:ilvl="0">
      <w:lvlJc w:val="left"/>
      <w:lvlText w:val="%1."/>
      <w:numFmt w:val="decimal"/>
      <w:start w:val="1"/>
    </w:lvl>
  </w:abstractNum>
  <w:abstractNum w:abstractNumId="99">
    <w:nsid w:val="3F7C2FF4"/>
    <w:multiLevelType w:val="hybridMultilevel"/>
    <w:lvl w:ilvl="0">
      <w:lvlJc w:val="left"/>
      <w:lvlText w:val="%1"/>
      <w:numFmt w:val="decimal"/>
      <w:start w:val="1"/>
    </w:lvl>
    <w:lvl w:ilvl="1">
      <w:lvlJc w:val="left"/>
      <w:lvlText w:val="%2."/>
      <w:numFmt w:val="decimal"/>
      <w:start w:val="2"/>
    </w:lvl>
  </w:abstractNum>
  <w:abstractNum w:abstractNumId="100">
    <w:nsid w:val="25413BEC"/>
    <w:multiLevelType w:val="hybridMultilevel"/>
    <w:lvl w:ilvl="0">
      <w:lvlJc w:val="left"/>
      <w:lvlText w:val="%1."/>
      <w:numFmt w:val="decimal"/>
      <w:start w:val="21"/>
    </w:lvl>
    <w:lvl w:ilvl="1">
      <w:lvlJc w:val="left"/>
      <w:lvlText w:val="%2"/>
      <w:numFmt w:val="decimal"/>
      <w:start w:val="1"/>
    </w:lvl>
  </w:abstractNum>
  <w:abstractNum w:abstractNumId="101">
    <w:nsid w:val="17180B0B"/>
    <w:multiLevelType w:val="hybridMultilevel"/>
    <w:lvl w:ilvl="0">
      <w:lvlJc w:val="left"/>
      <w:lvlText w:val="%1."/>
      <w:numFmt w:val="decimal"/>
      <w:start w:val="24"/>
    </w:lvl>
  </w:abstractNum>
  <w:abstractNum w:abstractNumId="102">
    <w:nsid w:val="579328B9"/>
    <w:multiLevelType w:val="hybridMultilevel"/>
    <w:lvl w:ilvl="0">
      <w:lvlJc w:val="left"/>
      <w:lvlText w:val="%1."/>
      <w:numFmt w:val="decimal"/>
      <w:start w:val="1"/>
    </w:lvl>
    <w:lvl w:ilvl="1">
      <w:lvlJc w:val="left"/>
      <w:lvlText w:val="(%2)"/>
      <w:numFmt w:val="lowerLetter"/>
      <w:start w:val="1"/>
    </w:lvl>
  </w:abstractNum>
  <w:abstractNum w:abstractNumId="103">
    <w:nsid w:val="5D205E20"/>
    <w:multiLevelType w:val="hybridMultilevel"/>
    <w:lvl w:ilvl="0">
      <w:lvlJc w:val="left"/>
      <w:lvlText w:val="%1"/>
      <w:numFmt w:val="decimal"/>
      <w:start w:val="1"/>
    </w:lvl>
    <w:lvl w:ilvl="1">
      <w:lvlJc w:val="left"/>
      <w:lvlText w:val="(%2)"/>
      <w:numFmt w:val="lowerLetter"/>
      <w:start w:val="2"/>
    </w:lvl>
  </w:abstractNum>
  <w:abstractNum w:abstractNumId="104">
    <w:nsid w:val="11CCA8BA"/>
    <w:multiLevelType w:val="hybridMultilevel"/>
    <w:lvl w:ilvl="0">
      <w:lvlJc w:val="left"/>
      <w:lvlText w:val="%1."/>
      <w:numFmt w:val="decimal"/>
      <w:start w:val="4"/>
    </w:lvl>
    <w:lvl w:ilvl="1">
      <w:lvlJc w:val="left"/>
      <w:lvlText w:val="%2"/>
      <w:numFmt w:val="lowerLetter"/>
      <w:start w:val="1"/>
    </w:lvl>
  </w:abstractNum>
  <w:abstractNum w:abstractNumId="105">
    <w:nsid w:val="4D32AB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6">
    <w:nsid w:val="3F07ACC3"/>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107">
    <w:nsid w:val="6B47F63E"/>
    <w:multiLevelType w:val="hybridMultilevel"/>
    <w:lvl w:ilvl="0">
      <w:lvlJc w:val="left"/>
      <w:lvlText w:val="(%1)"/>
      <w:numFmt w:val="lowerLetter"/>
      <w:start w:val="4"/>
    </w:lvl>
  </w:abstractNum>
  <w:abstractNum w:abstractNumId="108">
    <w:nsid w:val="5CB44A0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9">
    <w:nsid w:val="16CF80F1"/>
    <w:multiLevelType w:val="hybridMultilevel"/>
    <w:lvl w:ilvl="0">
      <w:lvlJc w:val="left"/>
      <w:lvlText w:val="%1."/>
      <w:numFmt w:val="upperLetter"/>
      <w:start w:val="3"/>
    </w:lvl>
  </w:abstractNum>
  <w:abstractNum w:abstractNumId="110">
    <w:nsid w:val="1C695DEC"/>
    <w:multiLevelType w:val="hybridMultilevel"/>
    <w:lvl w:ilvl="0">
      <w:lvlJc w:val="left"/>
      <w:lvlText w:val="%1."/>
      <w:numFmt w:val="lowerRoman"/>
      <w:start w:val="3"/>
    </w:lvl>
  </w:abstractNum>
  <w:abstractNum w:abstractNumId="111">
    <w:nsid w:val="3FCFAE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12">
    <w:nsid w:val="F85686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13">
    <w:nsid w:val="11B1CC3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4">
    <w:nsid w:val="2E22FBB7"/>
    <w:multiLevelType w:val="hybridMultilevel"/>
    <w:lvl w:ilvl="0">
      <w:lvlJc w:val="left"/>
      <w:lvlText w:val="(%1)"/>
      <w:numFmt w:val="lowerLetter"/>
      <w:start w:val="2"/>
    </w:lvl>
  </w:abstractNum>
  <w:abstractNum w:abstractNumId="115">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6">
    <w:nsid w:val="7748585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17">
    <w:nsid w:val="744939A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18">
    <w:nsid w:val="4FA0D2E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9">
    <w:nsid w:val="6B1D2C1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0">
    <w:nsid w:val="68B867D3"/>
    <w:multiLevelType w:val="hybridMultilevel"/>
    <w:lvl w:ilvl="0">
      <w:lvlJc w:val="left"/>
      <w:lvlText w:val="%1"/>
      <w:numFmt w:val="lowerLetter"/>
      <w:start w:val="1"/>
    </w:lvl>
    <w:lvl w:ilvl="1">
      <w:lvlJc w:val="left"/>
      <w:lvlText w:val="%2."/>
      <w:numFmt w:val="lowerRoman"/>
      <w:start w:val="2"/>
    </w:lvl>
  </w:abstractNum>
  <w:abstractNum w:abstractNumId="121">
    <w:nsid w:val="3F7F5DD9"/>
    <w:multiLevelType w:val="hybridMultilevel"/>
    <w:lvl w:ilvl="0">
      <w:lvlJc w:val="left"/>
      <w:lvlText w:val="(%1)"/>
      <w:numFmt w:val="lowerLetter"/>
      <w:start w:val="3"/>
    </w:lvl>
    <w:lvl w:ilvl="1">
      <w:lvlJc w:val="left"/>
      <w:lvlText w:val="%2"/>
      <w:numFmt w:val="lowerRoman"/>
      <w:start w:val="1"/>
    </w:lvl>
  </w:abstractNum>
  <w:abstractNum w:abstractNumId="122">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32794FF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24">
    <w:nsid w:val="5454945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5">
    <w:nsid w:val="4DEFDFA0"/>
    <w:multiLevelType w:val="hybridMultilevel"/>
    <w:lvl w:ilvl="0">
      <w:lvlJc w:val="left"/>
      <w:lvlText w:val="%1."/>
      <w:numFmt w:val="decimal"/>
      <w:start w:val="11"/>
    </w:lvl>
    <w:lvl w:ilvl="1">
      <w:lvlJc w:val="left"/>
      <w:lvlText w:val="(%2)"/>
      <w:numFmt w:val="lowerLetter"/>
      <w:start w:val="1"/>
    </w:lvl>
  </w:abstractNum>
  <w:abstractNum w:abstractNumId="126">
    <w:nsid w:val="2123D5F2"/>
    <w:multiLevelType w:val="hybridMultilevel"/>
    <w:lvl w:ilvl="0">
      <w:lvlJc w:val="left"/>
      <w:lvlText w:val="%1"/>
      <w:numFmt w:val="decimal"/>
      <w:start w:val="1"/>
    </w:lvl>
    <w:lvl w:ilvl="1">
      <w:lvlJc w:val="left"/>
      <w:lvlText w:val="(%2)"/>
      <w:numFmt w:val="lowerLetter"/>
      <w:start w:val="3"/>
    </w:lvl>
  </w:abstractNum>
  <w:abstractNum w:abstractNumId="127">
    <w:nsid w:val="135B8110"/>
    <w:multiLevelType w:val="hybridMultilevel"/>
    <w:lvl w:ilvl="0">
      <w:lvlJc w:val="left"/>
      <w:lvlText w:val="%1."/>
      <w:numFmt w:val="decimal"/>
      <w:start w:val="12"/>
    </w:lvl>
    <w:lvl w:ilvl="1">
      <w:lvlJc w:val="left"/>
      <w:lvlText w:val="%2"/>
      <w:numFmt w:val="lowerLetter"/>
      <w:start w:val="1"/>
    </w:lvl>
  </w:abstractNum>
  <w:abstractNum w:abstractNumId="128">
    <w:nsid w:val="94927A8"/>
    <w:multiLevelType w:val="hybridMultilevel"/>
    <w:lvl w:ilvl="0">
      <w:lvlJc w:val="left"/>
      <w:lvlText w:val="%1."/>
      <w:numFmt w:val="decimal"/>
      <w:start w:val="15"/>
    </w:lvl>
  </w:abstractNum>
  <w:abstractNum w:abstractNumId="129">
    <w:nsid w:val="DCDF8F6"/>
    <w:multiLevelType w:val="hybridMultilevel"/>
    <w:lvl w:ilvl="0">
      <w:lvlJc w:val="left"/>
      <w:lvlText w:val="%1."/>
      <w:numFmt w:val="decimal"/>
      <w:start w:val="20"/>
    </w:lvl>
  </w:abstractNum>
  <w:abstractNum w:abstractNumId="130">
    <w:nsid w:val="52D7B105"/>
    <w:multiLevelType w:val="hybridMultilevel"/>
    <w:lvl w:ilvl="0">
      <w:lvlJc w:val="left"/>
      <w:lvlText w:val="%1."/>
      <w:numFmt w:val="decimal"/>
      <w:start w:val="1"/>
    </w:lvl>
  </w:abstractNum>
  <w:abstractNum w:abstractNumId="131">
    <w:nsid w:val="2E8A6394"/>
    <w:multiLevelType w:val="hybridMultilevel"/>
    <w:lvl w:ilvl="0">
      <w:lvlJc w:val="left"/>
      <w:lvlText w:val="%1"/>
      <w:numFmt w:val="decimal"/>
      <w:start w:val="1"/>
    </w:lvl>
    <w:lvl w:ilvl="1">
      <w:lvlJc w:val="left"/>
      <w:lvlText w:val="%2."/>
      <w:numFmt w:val="decimal"/>
      <w:start w:val="2"/>
    </w:lvl>
  </w:abstractNum>
  <w:abstractNum w:abstractNumId="132">
    <w:nsid w:val="24E60401"/>
    <w:multiLevelType w:val="hybridMultilevel"/>
    <w:lvl w:ilvl="0">
      <w:lvlJc w:val="left"/>
      <w:lvlText w:val="%1."/>
      <w:numFmt w:val="decimal"/>
      <w:start w:val="21"/>
    </w:lvl>
    <w:lvl w:ilvl="1">
      <w:lvlJc w:val="left"/>
      <w:lvlText w:val="%2"/>
      <w:numFmt w:val="decimal"/>
      <w:start w:val="1"/>
    </w:lvl>
  </w:abstractNum>
  <w:abstractNum w:abstractNumId="133">
    <w:nsid w:val="2A6AD9BE"/>
    <w:multiLevelType w:val="hybridMultilevel"/>
    <w:lvl w:ilvl="0">
      <w:lvlJc w:val="left"/>
      <w:lvlText w:val="%1."/>
      <w:numFmt w:val="decimal"/>
      <w:start w:val="25"/>
    </w:lvl>
  </w:abstractNum>
  <w:abstractNum w:abstractNumId="134">
    <w:nsid w:val="BAAC1B4"/>
    <w:multiLevelType w:val="hybridMultilevel"/>
    <w:lvl w:ilvl="0">
      <w:lvlJc w:val="left"/>
      <w:lvlText w:val="%1."/>
      <w:numFmt w:val="decimal"/>
      <w:start w:val="1"/>
    </w:lvl>
    <w:lvl w:ilvl="1">
      <w:lvlJc w:val="left"/>
      <w:lvlText w:val="(%2)"/>
      <w:numFmt w:val="lowerLetter"/>
      <w:start w:val="1"/>
    </w:lvl>
  </w:abstractNum>
  <w:abstractNum w:abstractNumId="135">
    <w:nsid w:val="36B2ACBC"/>
    <w:multiLevelType w:val="hybridMultilevel"/>
    <w:lvl w:ilvl="0">
      <w:lvlJc w:val="left"/>
      <w:lvlText w:val="%1"/>
      <w:numFmt w:val="decimal"/>
      <w:start w:val="1"/>
    </w:lvl>
    <w:lvl w:ilvl="1">
      <w:lvlJc w:val="left"/>
      <w:lvlText w:val="(%2)"/>
      <w:numFmt w:val="lowerLetter"/>
      <w:start w:val="2"/>
    </w:lvl>
  </w:abstractNum>
  <w:abstractNum w:abstractNumId="136">
    <w:nsid w:val="779D8544"/>
    <w:multiLevelType w:val="hybridMultilevel"/>
    <w:lvl w:ilvl="0">
      <w:lvlJc w:val="left"/>
      <w:lvlText w:val="%1."/>
      <w:numFmt w:val="decimal"/>
      <w:start w:val="4"/>
    </w:lvl>
    <w:lvl w:ilvl="1">
      <w:lvlJc w:val="left"/>
      <w:lvlText w:val="%2"/>
      <w:numFmt w:val="lowerLetter"/>
      <w:start w:val="1"/>
    </w:lvl>
  </w:abstractNum>
  <w:abstractNum w:abstractNumId="137">
    <w:nsid w:val="4AB26E7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8">
    <w:nsid w:val="21FAA2FA"/>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139">
    <w:nsid w:val="5451CF49"/>
    <w:multiLevelType w:val="hybridMultilevel"/>
    <w:lvl w:ilvl="0">
      <w:lvlJc w:val="left"/>
      <w:lvlText w:val="(%1)"/>
      <w:numFmt w:val="lowerLetter"/>
      <w:start w:val="4"/>
    </w:lvl>
  </w:abstractNum>
  <w:abstractNum w:abstractNumId="140">
    <w:nsid w:val="6181EF6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41">
    <w:nsid w:val="3E6400E6"/>
    <w:multiLevelType w:val="hybridMultilevel"/>
    <w:lvl w:ilvl="0">
      <w:lvlJc w:val="left"/>
      <w:lvlText w:val="%1."/>
      <w:numFmt w:val="upperLetter"/>
      <w:start w:val="3"/>
    </w:lvl>
  </w:abstractNum>
  <w:abstractNum w:abstractNumId="142">
    <w:nsid w:val="14217E23"/>
    <w:multiLevelType w:val="hybridMultilevel"/>
    <w:lvl w:ilvl="0">
      <w:lvlJc w:val="left"/>
      <w:lvlText w:val="%1."/>
      <w:numFmt w:val="lowerRoman"/>
      <w:start w:val="3"/>
    </w:lvl>
  </w:abstractNum>
  <w:abstractNum w:abstractNumId="143">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44">
    <w:nsid w:val="5015CD1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45">
    <w:nsid w:val="424479D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6">
    <w:nsid w:val="1A9A9E69"/>
    <w:multiLevelType w:val="hybridMultilevel"/>
    <w:lvl w:ilvl="0">
      <w:lvlJc w:val="left"/>
      <w:lvlText w:val="(%1)"/>
      <w:numFmt w:val="lowerLetter"/>
      <w:start w:val="2"/>
    </w:lvl>
  </w:abstractNum>
  <w:abstractNum w:abstractNumId="147">
    <w:nsid w:val="475E256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8">
    <w:nsid w:val="368DB37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49">
    <w:nsid w:val="6A3B714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50">
    <w:nsid w:val="327B517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1">
    <w:nsid w:val="1F461B5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2">
    <w:nsid w:val="29BACF25"/>
    <w:multiLevelType w:val="hybridMultilevel"/>
    <w:lvl w:ilvl="0">
      <w:lvlJc w:val="left"/>
      <w:lvlText w:val="%1"/>
      <w:numFmt w:val="lowerLetter"/>
      <w:start w:val="1"/>
    </w:lvl>
    <w:lvl w:ilvl="1">
      <w:lvlJc w:val="left"/>
      <w:lvlText w:val="%2."/>
      <w:numFmt w:val="lowerRoman"/>
      <w:start w:val="2"/>
    </w:lvl>
  </w:abstractNum>
  <w:abstractNum w:abstractNumId="153">
    <w:nsid w:val="5D5BABB3"/>
    <w:multiLevelType w:val="hybridMultilevel"/>
    <w:lvl w:ilvl="0">
      <w:lvlJc w:val="left"/>
      <w:lvlText w:val="(%1)"/>
      <w:numFmt w:val="lowerLetter"/>
      <w:start w:val="3"/>
    </w:lvl>
    <w:lvl w:ilvl="1">
      <w:lvlJc w:val="left"/>
      <w:lvlText w:val="%2"/>
      <w:numFmt w:val="lowerRoman"/>
      <w:start w:val="1"/>
    </w:lvl>
  </w:abstractNum>
  <w:abstractNum w:abstractNumId="154">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7E0F638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56">
    <w:nsid w:val="2B4B8B5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7">
    <w:nsid w:val="72E3413A"/>
    <w:multiLevelType w:val="hybridMultilevel"/>
    <w:lvl w:ilvl="0">
      <w:lvlJc w:val="left"/>
      <w:lvlText w:val="%1."/>
      <w:numFmt w:val="decimal"/>
      <w:start w:val="11"/>
    </w:lvl>
    <w:lvl w:ilvl="1">
      <w:lvlJc w:val="left"/>
      <w:lvlText w:val="(%2)"/>
      <w:numFmt w:val="lowerLetter"/>
      <w:start w:val="1"/>
    </w:lvl>
  </w:abstractNum>
  <w:abstractNum w:abstractNumId="158">
    <w:nsid w:val="116AE494"/>
    <w:multiLevelType w:val="hybridMultilevel"/>
    <w:lvl w:ilvl="0">
      <w:lvlJc w:val="left"/>
      <w:lvlText w:val="%1"/>
      <w:numFmt w:val="decimal"/>
      <w:start w:val="1"/>
    </w:lvl>
    <w:lvl w:ilvl="1">
      <w:lvlJc w:val="left"/>
      <w:lvlText w:val="(%2)"/>
      <w:numFmt w:val="lowerLetter"/>
      <w:start w:val="3"/>
    </w:lvl>
  </w:abstractNum>
  <w:abstractNum w:abstractNumId="159">
    <w:nsid w:val="3494B2FB"/>
    <w:multiLevelType w:val="hybridMultilevel"/>
    <w:lvl w:ilvl="0">
      <w:lvlJc w:val="left"/>
      <w:lvlText w:val="%1."/>
      <w:numFmt w:val="decimal"/>
      <w:start w:val="12"/>
    </w:lvl>
    <w:lvl w:ilvl="1">
      <w:lvlJc w:val="left"/>
      <w:lvlText w:val="%2"/>
      <w:numFmt w:val="lowerLetter"/>
      <w:start w:val="1"/>
    </w:lvl>
  </w:abstractNum>
  <w:abstractNum w:abstractNumId="160">
    <w:nsid w:val="B13A31"/>
    <w:multiLevelType w:val="hybridMultilevel"/>
    <w:lvl w:ilvl="0">
      <w:lvlJc w:val="left"/>
      <w:lvlText w:val="%1."/>
      <w:numFmt w:val="decimal"/>
      <w:start w:val="15"/>
    </w:lvl>
  </w:abstractNum>
  <w:abstractNum w:abstractNumId="161">
    <w:nsid w:val="64429599"/>
    <w:multiLevelType w:val="hybridMultilevel"/>
    <w:lvl w:ilvl="0">
      <w:lvlJc w:val="left"/>
      <w:lvlText w:val="%1."/>
      <w:numFmt w:val="decimal"/>
      <w:start w:val="20"/>
    </w:lvl>
  </w:abstractNum>
  <w:abstractNum w:abstractNumId="162">
    <w:nsid w:val="631F1690"/>
    <w:multiLevelType w:val="hybridMultilevel"/>
    <w:lvl w:ilvl="0">
      <w:lvlJc w:val="left"/>
      <w:lvlText w:val="%1."/>
      <w:numFmt w:val="decimal"/>
      <w:start w:val="1"/>
    </w:lvl>
  </w:abstractNum>
  <w:abstractNum w:abstractNumId="163">
    <w:nsid w:val="25973E32"/>
    <w:multiLevelType w:val="hybridMultilevel"/>
    <w:lvl w:ilvl="0">
      <w:lvlJc w:val="left"/>
      <w:lvlText w:val="%1"/>
      <w:numFmt w:val="decimal"/>
      <w:start w:val="1"/>
    </w:lvl>
    <w:lvl w:ilvl="1">
      <w:lvlJc w:val="left"/>
      <w:lvlText w:val="%2."/>
      <w:numFmt w:val="decimal"/>
      <w:start w:val="2"/>
    </w:lvl>
  </w:abstractNum>
  <w:abstractNum w:abstractNumId="164">
    <w:nsid w:val="EAD6F57"/>
    <w:multiLevelType w:val="hybridMultilevel"/>
    <w:lvl w:ilvl="0">
      <w:lvlJc w:val="left"/>
      <w:lvlText w:val="%1."/>
      <w:numFmt w:val="decimal"/>
      <w:start w:val="21"/>
    </w:lvl>
    <w:lvl w:ilvl="1">
      <w:lvlJc w:val="left"/>
      <w:lvlText w:val="%2"/>
      <w:numFmt w:val="decimal"/>
      <w:start w:val="1"/>
    </w:lvl>
  </w:abstractNum>
  <w:abstractNum w:abstractNumId="165">
    <w:nsid w:val="6EC9D844"/>
    <w:multiLevelType w:val="hybridMultilevel"/>
    <w:lvl w:ilvl="0">
      <w:lvlJc w:val="left"/>
      <w:lvlText w:val="%1."/>
      <w:numFmt w:val="decimal"/>
      <w:start w:val="25"/>
    </w:lvl>
  </w:abstractNum>
  <w:abstractNum w:abstractNumId="166">
    <w:nsid w:val="5C49EAEE"/>
    <w:multiLevelType w:val="hybridMultilevel"/>
    <w:lvl w:ilvl="0">
      <w:lvlJc w:val="left"/>
      <w:lvlText w:val="%1."/>
      <w:numFmt w:val="decimal"/>
      <w:start w:val="1"/>
    </w:lvl>
    <w:lvl w:ilvl="1">
      <w:lvlJc w:val="left"/>
      <w:lvlText w:val="(%2)"/>
      <w:numFmt w:val="lowerLetter"/>
      <w:start w:val="1"/>
    </w:lvl>
  </w:abstractNum>
  <w:abstractNum w:abstractNumId="167">
    <w:nsid w:val="64AF49B"/>
    <w:multiLevelType w:val="hybridMultilevel"/>
    <w:lvl w:ilvl="0">
      <w:lvlJc w:val="left"/>
      <w:lvlText w:val="%1"/>
      <w:numFmt w:val="decimal"/>
      <w:start w:val="1"/>
    </w:lvl>
    <w:lvl w:ilvl="1">
      <w:lvlJc w:val="left"/>
      <w:lvlText w:val="(%2)"/>
      <w:numFmt w:val="lowerLetter"/>
      <w:start w:val="2"/>
    </w:lvl>
  </w:abstractNum>
  <w:abstractNum w:abstractNumId="168">
    <w:nsid w:val="397C46BC"/>
    <w:multiLevelType w:val="hybridMultilevel"/>
    <w:lvl w:ilvl="0">
      <w:lvlJc w:val="left"/>
      <w:lvlText w:val="%1."/>
      <w:numFmt w:val="decimal"/>
      <w:start w:val="4"/>
    </w:lvl>
    <w:lvl w:ilvl="1">
      <w:lvlJc w:val="left"/>
      <w:lvlText w:val="%2"/>
      <w:numFmt w:val="lowerLetter"/>
      <w:start w:val="1"/>
    </w:lvl>
  </w:abstractNum>
  <w:abstractNum w:abstractNumId="169">
    <w:nsid w:val="7E448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0">
    <w:nsid w:val="5A9CC3E5"/>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171">
    <w:nsid w:val="1AFE3625"/>
    <w:multiLevelType w:val="hybridMultilevel"/>
    <w:lvl w:ilvl="0">
      <w:lvlJc w:val="left"/>
      <w:lvlText w:val="(%1)"/>
      <w:numFmt w:val="lowerLetter"/>
      <w:start w:val="4"/>
    </w:lvl>
  </w:abstractNum>
  <w:abstractNum w:abstractNumId="172">
    <w:nsid w:val="3CA88EC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73">
    <w:nsid w:val="6EBE4208"/>
    <w:multiLevelType w:val="hybridMultilevel"/>
    <w:lvl w:ilvl="0">
      <w:lvlJc w:val="left"/>
      <w:lvlText w:val="%1."/>
      <w:numFmt w:val="upperLetter"/>
      <w:start w:val="3"/>
    </w:lvl>
  </w:abstractNum>
  <w:abstractNum w:abstractNumId="174">
    <w:nsid w:val="C058DF5"/>
    <w:multiLevelType w:val="hybridMultilevel"/>
    <w:lvl w:ilvl="0">
      <w:lvlJc w:val="left"/>
      <w:lvlText w:val="%1."/>
      <w:numFmt w:val="lowerRoman"/>
      <w:start w:val="3"/>
    </w:lvl>
  </w:abstractNum>
  <w:abstractNum w:abstractNumId="175">
    <w:nsid w:val="CBE5B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76">
    <w:nsid w:val="3102BBE2"/>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77">
    <w:nsid w:val="26A02C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8">
    <w:nsid w:val="541C8153"/>
    <w:multiLevelType w:val="hybridMultilevel"/>
    <w:lvl w:ilvl="0">
      <w:lvlJc w:val="left"/>
      <w:lvlText w:val="(%1)"/>
      <w:numFmt w:val="lowerLetter"/>
      <w:start w:val="2"/>
    </w:lvl>
  </w:abstractNum>
  <w:abstractNum w:abstractNumId="179">
    <w:nsid w:val="67906F6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0">
    <w:nsid w:val="10DB9DA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81">
    <w:nsid w:val="697D2D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2">
    <w:nsid w:val="6D68AB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3">
    <w:nsid w:val="3A966CD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4">
    <w:nsid w:val="63F37E85"/>
    <w:multiLevelType w:val="hybridMultilevel"/>
    <w:lvl w:ilvl="0">
      <w:lvlJc w:val="left"/>
      <w:lvlText w:val="%1"/>
      <w:numFmt w:val="lowerLetter"/>
      <w:start w:val="1"/>
    </w:lvl>
    <w:lvl w:ilvl="1">
      <w:lvlJc w:val="left"/>
      <w:lvlText w:val="%2."/>
      <w:numFmt w:val="lowerRoman"/>
      <w:start w:val="2"/>
    </w:lvl>
  </w:abstractNum>
  <w:abstractNum w:abstractNumId="185">
    <w:nsid w:val="5895F5FA"/>
    <w:multiLevelType w:val="hybridMultilevel"/>
    <w:lvl w:ilvl="0">
      <w:lvlJc w:val="left"/>
      <w:lvlText w:val="(%1)"/>
      <w:numFmt w:val="lowerLetter"/>
      <w:start w:val="3"/>
    </w:lvl>
    <w:lvl w:ilvl="1">
      <w:lvlJc w:val="left"/>
      <w:lvlText w:val="%2"/>
      <w:numFmt w:val="lowerRoman"/>
      <w:start w:val="1"/>
    </w:lvl>
  </w:abstractNum>
  <w:abstractNum w:abstractNumId="186">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7">
    <w:nsid w:val="F3F09D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88">
    <w:nsid w:val="4B79373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89">
    <w:nsid w:val="4A10B4E8"/>
    <w:multiLevelType w:val="hybridMultilevel"/>
    <w:lvl w:ilvl="0">
      <w:lvlJc w:val="left"/>
      <w:lvlText w:val="%1."/>
      <w:numFmt w:val="decimal"/>
      <w:start w:val="11"/>
    </w:lvl>
    <w:lvl w:ilvl="1">
      <w:lvlJc w:val="left"/>
      <w:lvlText w:val="(%2)"/>
      <w:numFmt w:val="lowerLetter"/>
      <w:start w:val="1"/>
    </w:lvl>
  </w:abstractNum>
  <w:abstractNum w:abstractNumId="190">
    <w:nsid w:val="43D3BCD4"/>
    <w:multiLevelType w:val="hybridMultilevel"/>
    <w:lvl w:ilvl="0">
      <w:lvlJc w:val="left"/>
      <w:lvlText w:val="%1"/>
      <w:numFmt w:val="decimal"/>
      <w:start w:val="1"/>
    </w:lvl>
    <w:lvl w:ilvl="1">
      <w:lvlJc w:val="left"/>
      <w:lvlText w:val="(%2)"/>
      <w:numFmt w:val="lowerLetter"/>
      <w:start w:val="3"/>
    </w:lvl>
  </w:abstractNum>
  <w:abstractNum w:abstractNumId="191">
    <w:nsid w:val="4C2A7166"/>
    <w:multiLevelType w:val="hybridMultilevel"/>
    <w:lvl w:ilvl="0">
      <w:lvlJc w:val="left"/>
      <w:lvlText w:val="%1."/>
      <w:numFmt w:val="decimal"/>
      <w:start w:val="12"/>
    </w:lvl>
    <w:lvl w:ilvl="1">
      <w:lvlJc w:val="left"/>
      <w:lvlText w:val="%2"/>
      <w:numFmt w:val="lowerLetter"/>
      <w:start w:val="1"/>
    </w:lvl>
  </w:abstractNum>
  <w:abstractNum w:abstractNumId="192">
    <w:nsid w:val="2E534A82"/>
    <w:multiLevelType w:val="hybridMultilevel"/>
    <w:lvl w:ilvl="0">
      <w:lvlJc w:val="left"/>
      <w:lvlText w:val="%1."/>
      <w:numFmt w:val="decimal"/>
      <w:start w:val="15"/>
    </w:lvl>
  </w:abstractNum>
  <w:abstractNum w:abstractNumId="193">
    <w:nsid w:val="26F2D364"/>
    <w:multiLevelType w:val="hybridMultilevel"/>
    <w:lvl w:ilvl="0">
      <w:lvlJc w:val="left"/>
      <w:lvlText w:val="%1."/>
      <w:numFmt w:val="decimal"/>
      <w:start w:val="20"/>
    </w:lvl>
  </w:abstractNum>
  <w:abstractNum w:abstractNumId="194">
    <w:nsid w:val="71C1AF98"/>
    <w:multiLevelType w:val="hybridMultilevel"/>
    <w:lvl w:ilvl="0">
      <w:lvlJc w:val="left"/>
      <w:lvlText w:val="%1."/>
      <w:numFmt w:val="decimal"/>
      <w:start w:val="1"/>
    </w:lvl>
  </w:abstractNum>
  <w:abstractNum w:abstractNumId="195">
    <w:nsid w:val="3D00B9D9"/>
    <w:multiLevelType w:val="hybridMultilevel"/>
    <w:lvl w:ilvl="0">
      <w:lvlJc w:val="left"/>
      <w:lvlText w:val="%1"/>
      <w:numFmt w:val="decimal"/>
      <w:start w:val="1"/>
    </w:lvl>
    <w:lvl w:ilvl="1">
      <w:lvlJc w:val="left"/>
      <w:lvlText w:val="%2."/>
      <w:numFmt w:val="decimal"/>
      <w:start w:val="2"/>
    </w:lvl>
  </w:abstractNum>
  <w:abstractNum w:abstractNumId="196">
    <w:nsid w:val="15BCABA8"/>
    <w:multiLevelType w:val="hybridMultilevel"/>
    <w:lvl w:ilvl="0">
      <w:lvlJc w:val="left"/>
      <w:lvlText w:val="%1."/>
      <w:numFmt w:val="decimal"/>
      <w:start w:val="21"/>
    </w:lvl>
    <w:lvl w:ilvl="1">
      <w:lvlJc w:val="left"/>
      <w:lvlText w:val="%2"/>
      <w:numFmt w:val="decimal"/>
      <w:start w:val="1"/>
    </w:lvl>
  </w:abstractNum>
  <w:abstractNum w:abstractNumId="197">
    <w:nsid w:val="4E0B9A87"/>
    <w:multiLevelType w:val="hybridMultilevel"/>
    <w:lvl w:ilvl="0">
      <w:lvlJc w:val="left"/>
      <w:lvlText w:val="%1."/>
      <w:numFmt w:val="decimal"/>
      <w:start w:val="25"/>
    </w:lvl>
  </w:abstractNum>
  <w:abstractNum w:abstractNumId="198">
    <w:nsid w:val="434BAE75"/>
    <w:multiLevelType w:val="hybridMultilevel"/>
    <w:lvl w:ilvl="0">
      <w:lvlJc w:val="left"/>
      <w:lvlText w:val="%1."/>
      <w:numFmt w:val="decimal"/>
      <w:start w:val="1"/>
    </w:lvl>
  </w:abstractNum>
  <w:abstractNum w:abstractNumId="199">
    <w:nsid w:val="4F38F265"/>
    <w:multiLevelType w:val="hybridMultilevel"/>
    <w:lvl w:ilvl="0">
      <w:lvlJc w:val="left"/>
      <w:lvlText w:val="%1."/>
      <w:numFmt w:val="decimal"/>
      <w:start w:val="2"/>
    </w:lvl>
  </w:abstractNum>
  <w:abstractNum w:abstractNumId="200">
    <w:nsid w:val="4C502870"/>
    <w:multiLevelType w:val="hybridMultilevel"/>
    <w:lvl w:ilvl="0">
      <w:lvlJc w:val="left"/>
      <w:lvlText w:val="%1."/>
      <w:numFmt w:val="decimal"/>
      <w:start w:val="3"/>
    </w:lvl>
  </w:abstractNum>
  <w:abstractNum w:abstractNumId="201">
    <w:nsid w:val="1DE8725A"/>
    <w:multiLevelType w:val="hybridMultilevel"/>
    <w:lvl w:ilvl="0">
      <w:lvlJc w:val="left"/>
      <w:lvlText w:val="%1."/>
      <w:numFmt w:val="decimal"/>
      <w:start w:val="4"/>
    </w:lvl>
  </w:abstractNum>
  <w:abstractNum w:abstractNumId="202">
    <w:nsid w:val="6A37288A"/>
    <w:multiLevelType w:val="hybridMultilevel"/>
    <w:lvl w:ilvl="0">
      <w:lvlJc w:val="left"/>
      <w:lvlText w:val="%1."/>
      <w:numFmt w:val="decimal"/>
      <w:start w:val="1"/>
    </w:lvl>
    <w:lvl w:ilvl="1">
      <w:lvlJc w:val="left"/>
      <w:lvlText w:val="•"/>
      <w:numFmt w:val="bullet"/>
      <w:start w:val="1"/>
    </w:lvl>
  </w:abstractNum>
  <w:abstractNum w:abstractNumId="203">
    <w:nsid w:val="8F8B73F"/>
    <w:multiLevelType w:val="hybridMultilevel"/>
    <w:lvl w:ilvl="0">
      <w:lvlJc w:val="left"/>
      <w:lvlText w:val="%1."/>
      <w:numFmt w:val="decimal"/>
      <w:start w:val="1"/>
    </w:lvl>
    <w:lvl w:ilvl="1">
      <w:lvlJc w:val="left"/>
      <w:lvlText w:val="•"/>
      <w:numFmt w:val="bullet"/>
      <w:start w:val="1"/>
    </w:lvl>
  </w:abstractNum>
  <w:abstractNum w:abstractNumId="204">
    <w:nsid w:val="CA6B462"/>
    <w:multiLevelType w:val="hybridMultilevel"/>
    <w:lvl w:ilvl="0">
      <w:lvlJc w:val="left"/>
      <w:lvlText w:val="%1."/>
      <w:numFmt w:val="decimal"/>
      <w:start w:val="3"/>
    </w:lvl>
  </w:abstractNum>
  <w:abstractNum w:abstractNumId="205">
    <w:nsid w:val="763CB680"/>
    <w:multiLevelType w:val="hybridMultilevel"/>
    <w:lvl w:ilvl="0">
      <w:lvlJc w:val="left"/>
      <w:lvlText w:val="%1."/>
      <w:numFmt w:val="decimal"/>
      <w:start w:val="4"/>
    </w:lvl>
  </w:abstractNum>
  <w:abstractNum w:abstractNumId="206">
    <w:nsid w:val="15B71329"/>
    <w:multiLevelType w:val="hybridMultilevel"/>
    <w:lvl w:ilvl="0">
      <w:lvlJc w:val="left"/>
      <w:lvlText w:val="%1."/>
      <w:numFmt w:val="decimal"/>
      <w:start w:val="1"/>
    </w:lvl>
    <w:lvl w:ilvl="1">
      <w:lvlJc w:val="left"/>
      <w:lvlText w:val="%2)"/>
      <w:numFmt w:val="lowerLetter"/>
      <w:start w:val="1"/>
    </w:lvl>
  </w:abstractNum>
  <w:abstractNum w:abstractNumId="207">
    <w:nsid w:val="3DA97044"/>
    <w:multiLevelType w:val="hybridMultilevel"/>
    <w:lvl w:ilvl="0">
      <w:lvlJc w:val="left"/>
      <w:lvlText w:val="%1."/>
      <w:numFmt w:val="decimal"/>
      <w:start w:val="1"/>
    </w:lvl>
    <w:lvl w:ilvl="1">
      <w:lvlJc w:val="left"/>
      <w:lvlText w:val="%2)"/>
      <w:numFmt w:val="lowerLetter"/>
      <w:start w:val="1"/>
    </w:lvl>
  </w:abstractNum>
  <w:abstractNum w:abstractNumId="208">
    <w:nsid w:val="1CDCE2DE"/>
    <w:multiLevelType w:val="hybridMultilevel"/>
    <w:lvl w:ilvl="0">
      <w:lvlJc w:val="left"/>
      <w:lvlText w:val="%1."/>
      <w:numFmt w:val="decimal"/>
      <w:start w:val="1"/>
    </w:lvl>
  </w:abstractNum>
  <w:abstractNum w:abstractNumId="209">
    <w:nsid w:val="69D3947C"/>
    <w:multiLevelType w:val="hybridMultilevel"/>
    <w:lvl w:ilvl="0">
      <w:lvlJc w:val="left"/>
      <w:lvlText w:val="%1."/>
      <w:numFmt w:val="decimal"/>
      <w:start w:val="1"/>
    </w:lvl>
  </w:abstractNum>
  <w:abstractNum w:abstractNumId="210">
    <w:nsid w:val="2539DFA5"/>
    <w:multiLevelType w:val="hybridMultilevel"/>
    <w:lvl w:ilvl="0">
      <w:lvlJc w:val="left"/>
      <w:lvlText w:val="%1."/>
      <w:numFmt w:val="decimal"/>
      <w:start w:val="7"/>
    </w:lvl>
  </w:abstractNum>
  <w:abstractNum w:abstractNumId="211">
    <w:nsid w:val="2DB88089"/>
    <w:multiLevelType w:val="hybridMultilevel"/>
    <w:lvl w:ilvl="0">
      <w:lvlJc w:val="left"/>
      <w:lvlText w:val="(%1)"/>
      <w:numFmt w:val="lowerRoman"/>
      <w:start w:val="2"/>
    </w:lvl>
  </w:abstractNum>
  <w:abstractNum w:abstractNumId="212">
    <w:nsid w:val="706B674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0" Type="http://schemas.openxmlformats.org/officeDocument/2006/relationships/image" Target="media/image126.png"/><Relationship Id="rId168" Type="http://schemas.openxmlformats.org/officeDocument/2006/relationships/image" Target="media/image127.png"/><Relationship Id="rId173" Type="http://schemas.openxmlformats.org/officeDocument/2006/relationships/image" Target="media/image128.png"/><Relationship Id="rId133" Type="http://schemas.openxmlformats.org/officeDocument/2006/relationships/hyperlink" Target="https://www.sec.gov/Archives/edgar/data/1377789/000119312523139464/d496945dex21.htm" TargetMode="External"/><Relationship Id="rId134" Type="http://schemas.openxmlformats.org/officeDocument/2006/relationships/hyperlink" Target="https://www.sec.gov/Archives/edgar/data/1377789/000119312523286509/d37057dex22.htm" TargetMode="External"/><Relationship Id="rId135" Type="http://schemas.openxmlformats.org/officeDocument/2006/relationships/hyperlink" Target="https://www.sec.gov/Archives/edgar/data/1377789/000137778923000047/amendedrestatedcertificate.htm" TargetMode="External"/><Relationship Id="rId136" Type="http://schemas.openxmlformats.org/officeDocument/2006/relationships/hyperlink" Target="https://www.sec.gov/Archives/edgar/data/1377789/000137778923000020/amendedandrestatedbylaws08.htm" TargetMode="External"/><Relationship Id="rId137" Type="http://schemas.openxmlformats.org/officeDocument/2006/relationships/hyperlink" Target="https://www.sec.gov/Archives/edgar/data/1377789/000119312516702547/d254391dex32.htm" TargetMode="External"/><Relationship Id="rId138" Type="http://schemas.openxmlformats.org/officeDocument/2006/relationships/hyperlink" Target="https://www.sec.gov/Archives/edgar/data/1377789/000095012310084926/f56743exv4w1w1.htm" TargetMode="External"/><Relationship Id="rId139" Type="http://schemas.openxmlformats.org/officeDocument/2006/relationships/hyperlink" Target="https://www.sec.gov/Archives/edgar/data/1377789/000137778920000065/a41aviat-amendedandres.htm" TargetMode="External"/><Relationship Id="rId140" Type="http://schemas.openxmlformats.org/officeDocument/2006/relationships/hyperlink" Target="https://www.sec.gov/Archives/edgar/data/1377789/000137778923000007/aviatnetworksamendmentno1t.htm" TargetMode="External"/><Relationship Id="rId141" Type="http://schemas.openxmlformats.org/officeDocument/2006/relationships/hyperlink" Target="https://www.sec.gov/Archives/edgar/data/1377789/000137778923000023/descriptionofsecurities.htm" TargetMode="External"/><Relationship Id="rId142" Type="http://schemas.openxmlformats.org/officeDocument/2006/relationships/hyperlink" Target="https://www.sec.gov/Archives/edgar/data/1377789/000119312523286509/d37057dex101.htm" TargetMode="External"/><Relationship Id="rId143" Type="http://schemas.openxmlformats.org/officeDocument/2006/relationships/hyperlink" Target="https://www.sec.gov/Archives/edgar/data/1377789/000119312523286509/d37057dex102.htm" TargetMode="External"/><Relationship Id="rId144" Type="http://schemas.openxmlformats.org/officeDocument/2006/relationships/hyperlink" Target="https://www.sec.gov/Archives/edgar/data/1377789/000119312523286509/d37057dex103.htm" TargetMode="External"/><Relationship Id="rId145" Type="http://schemas.openxmlformats.org/officeDocument/2006/relationships/hyperlink" Target="https://www.sec.gov/Archives/edgar/data/1377789/000119312523286509/d37057dex104.htm" TargetMode="External"/><Relationship Id="rId146" Type="http://schemas.openxmlformats.org/officeDocument/2006/relationships/hyperlink" Target="https://www.sec.gov/Archives/edgar/data/1377789/000119312523286509/d37057dex105.htm" TargetMode="External"/><Relationship Id="rId147" Type="http://schemas.openxmlformats.org/officeDocument/2006/relationships/hyperlink" Target="https://www.sec.gov/Archives/edgar/data/1377789/000119312523286509/d37057dex106.htm" TargetMode="External"/><Relationship Id="rId148" Type="http://schemas.openxmlformats.org/officeDocument/2006/relationships/hyperlink" Target="https://www.sec.gov/Archives/edgar/data/1377789/000119312523286509/d37057dex107.htm" TargetMode="External"/><Relationship Id="rId149" Type="http://schemas.openxmlformats.org/officeDocument/2006/relationships/hyperlink" Target="https://www.sec.gov/Archives/edgar/data/1377789/000119312523286509/d37057dex108.htm" TargetMode="External"/><Relationship Id="rId151" Type="http://schemas.openxmlformats.org/officeDocument/2006/relationships/hyperlink" Target="https://www.sec.gov/Archives/edgar/data/1377789/000119312523286509/d37057dex109.htm" TargetMode="External"/><Relationship Id="rId152" Type="http://schemas.openxmlformats.org/officeDocument/2006/relationships/hyperlink" Target="https://www.sec.gov/Archives/edgar/data/1377789/000119312523286509/d37057dex1010.htm" TargetMode="External"/><Relationship Id="rId153" Type="http://schemas.openxmlformats.org/officeDocument/2006/relationships/hyperlink" Target="https://www.sec.gov/Archives/edgar/data/1377789/000119312523286509/d37057dex1011.htm" TargetMode="External"/><Relationship Id="rId154" Type="http://schemas.openxmlformats.org/officeDocument/2006/relationships/hyperlink" Target="https://www.sec.gov/Archives/edgar/data/1377789/000119312523286509/d37057dex1012.htm" TargetMode="External"/><Relationship Id="rId155" Type="http://schemas.openxmlformats.org/officeDocument/2006/relationships/hyperlink" Target="https://www.sec.gov/Archives/edgar/data/1377789/000119312523138929/d312982dex101.htm" TargetMode="External"/><Relationship Id="rId156" Type="http://schemas.openxmlformats.org/officeDocument/2006/relationships/hyperlink" Target="https://www.sec.gov/Archives/edgar/data/1377789/000137778923000050/firstamendmenttocreditagre.htm" TargetMode="External"/><Relationship Id="rId157" Type="http://schemas.openxmlformats.org/officeDocument/2006/relationships/hyperlink" Target="https://www.sec.gov/Archives/edgar/data/1377789/000095014407000753/g05194exv10w4.htm" TargetMode="External"/><Relationship Id="rId158" Type="http://schemas.openxmlformats.org/officeDocument/2006/relationships/hyperlink" Target="https://www.sec.gov/Archives/edgar/data/1377789/000095014407000753/g05194exv10w11.htm" TargetMode="External"/><Relationship Id="rId159" Type="http://schemas.openxmlformats.org/officeDocument/2006/relationships/hyperlink" Target="https://www.sec.gov/Archives/edgar/data/1377789/000095014407000753/g05194exv10w16.htm" TargetMode="External"/><Relationship Id="rId160" Type="http://schemas.openxmlformats.org/officeDocument/2006/relationships/hyperlink" Target="https://www.sec.gov/Archives/edgar/data/1377789/000137778915000002/ex101letteragreement01-12x.htm" TargetMode="External"/><Relationship Id="rId161" Type="http://schemas.openxmlformats.org/officeDocument/2006/relationships/hyperlink" Target="https://www.sec.gov/Archives/edgar/data/1377789/000137778916000172/ex1034mccarthycenterleasej.htm" TargetMode="External"/><Relationship Id="rId162" Type="http://schemas.openxmlformats.org/officeDocument/2006/relationships/hyperlink" Target="https://www.sec.gov/Archives/edgar/data/1377789/000092189520000006/ex101to8k11093001_01022020.htm" TargetMode="External"/><Relationship Id="rId163" Type="http://schemas.openxmlformats.org/officeDocument/2006/relationships/hyperlink" Target="https://www.sec.gov/Archives/edgar/data/0001377789/000137778921000033/amendment1toceocomp.htm" TargetMode="External"/><Relationship Id="rId164" Type="http://schemas.openxmlformats.org/officeDocument/2006/relationships/hyperlink" Target="https://www.sec.gov/Archives/edgar/data/0001377789/000137778921000041/amendment2tosmithempagreem.htm" TargetMode="External"/><Relationship Id="rId165" Type="http://schemas.openxmlformats.org/officeDocument/2006/relationships/hyperlink" Target="https://www.sec.gov/Archives/edgar/data/1377789/000137778921000072/avnwannualproxyfy21.htm#ieb44a5809ed24411a39a207ffc00a4b7_1804" TargetMode="External"/><Relationship Id="rId166" Type="http://schemas.openxmlformats.org/officeDocument/2006/relationships/hyperlink" Target="https://www.sec.gov/Archives/edgar/data/0001377789/000137778921000075/offerletter-davidgrayfinal.htm" TargetMode="External"/><Relationship Id="rId167" Type="http://schemas.openxmlformats.org/officeDocument/2006/relationships/hyperlink" Target="https://www.sec.gov/Archives/edgar/data/1377789/000137778924000024/separationagreement05282024.htm" TargetMode="External"/><Relationship Id="rId169" Type="http://schemas.openxmlformats.org/officeDocument/2006/relationships/hyperlink" Target="https://www.sec.gov/Archives/edgar/data/1377789/000137778924000024/consultingagreement05282024.htm" TargetMode="External"/><Relationship Id="rId170" Type="http://schemas.openxmlformats.org/officeDocument/2006/relationships/hyperlink" Target="https://www.sec.gov/Archives/edgar/data/1377789/000137778922000137/btuckeremploymentagreement.htm" TargetMode="External"/><Relationship Id="rId171" Type="http://schemas.openxmlformats.org/officeDocument/2006/relationships/hyperlink" Target="https://www.sec.gov/Archives/edgar/data/1377789/000137778922000137/a20190701tucker-svpnasales.htm" TargetMode="External"/><Relationship Id="rId172" Type="http://schemas.openxmlformats.org/officeDocument/2006/relationships/hyperlink" Target="https://www.sec.gov/Archives/edgar/data/1377789/000137778923000037/independentcontractor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2024-10-04T15:30:20Z</dcterms:created>
  <dcterms:modified xsi:type="dcterms:W3CDTF">2024-10-04T15:30:20Z</dcterms:modified>
</cp:coreProperties>
</file>