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27,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October 30, 2013 was 62,392,807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27, 2013</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844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340" w:type="dxa"/>
            <w:vAlign w:val="bottom"/>
          </w:tcPr>
          <w:p>
            <w:pPr>
              <w:spacing w:after="0"/>
              <w:rPr>
                <w:sz w:val="22"/>
                <w:szCs w:val="22"/>
                <w:color w:val="auto"/>
              </w:rPr>
            </w:pPr>
          </w:p>
        </w:tc>
        <w:tc>
          <w:tcPr>
            <w:tcW w:w="10360" w:type="dxa"/>
            <w:vAlign w:val="bottom"/>
            <w:gridSpan w:val="1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Item 1.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5"/>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Condensed Consolidated Statements of Operations for the Quarter Ended September 27, 2013 and September 28, 2012 (Unaudited)</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5"/>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Condensed Consolidated Statements of Comprehensive Loss for the Quarter Ended September 27, 2013 and September 28, 2012 (Unaudited)</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340" w:type="dxa"/>
            <w:vAlign w:val="bottom"/>
          </w:tcPr>
          <w:p>
            <w:pPr>
              <w:spacing w:after="0"/>
              <w:rPr>
                <w:sz w:val="21"/>
                <w:szCs w:val="21"/>
                <w:color w:val="auto"/>
              </w:rPr>
            </w:pPr>
          </w:p>
        </w:tc>
        <w:tc>
          <w:tcPr>
            <w:tcW w:w="10200" w:type="dxa"/>
            <w:vAlign w:val="bottom"/>
            <w:tcBorders>
              <w:top w:val="single" w:sz="8" w:color="0000FF"/>
            </w:tcBorders>
            <w:gridSpan w:val="1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Condensed Consolidated Balance Sheets as of September 27, 2013 and June 28, 2013 (Unaudited)</w:t>
              </w:r>
            </w:hyperlink>
          </w:p>
        </w:tc>
        <w:tc>
          <w:tcPr>
            <w:tcW w:w="1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
              <w:r>
                <w:rPr>
                  <w:rFonts w:ascii="Arial" w:cs="Arial" w:eastAsia="Arial" w:hAnsi="Arial"/>
                  <w:sz w:val="18"/>
                  <w:szCs w:val="18"/>
                  <w:color w:val="0000FF"/>
                  <w:w w:val="89"/>
                </w:rPr>
                <w:t>Condensed Consolidated Statements of Cash Flows for the Quarter Ended September 27, 2013 and September 28, 2013 (Unaudited)</w:t>
              </w:r>
            </w:hyperlink>
          </w:p>
        </w:tc>
        <w:tc>
          <w:tcPr>
            <w:tcW w:w="82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49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544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5"/>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20" w:type="dxa"/>
            <w:vAlign w:val="bottom"/>
            <w:gridSpan w:val="11"/>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34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40" w:type="dxa"/>
            <w:vAlign w:val="bottom"/>
            <w:gridSpan w:val="9"/>
          </w:tcPr>
          <w:p>
            <w:pPr>
              <w:spacing w:after="0"/>
              <w:rPr>
                <w:sz w:val="20"/>
                <w:szCs w:val="20"/>
                <w:color w:val="auto"/>
              </w:rPr>
            </w:pPr>
            <w:r>
              <w:rPr>
                <w:rFonts w:ascii="Arial" w:cs="Arial" w:eastAsia="Arial" w:hAnsi="Arial"/>
                <w:sz w:val="18"/>
                <w:szCs w:val="18"/>
                <w:color w:val="0000FF"/>
                <w:w w:val="89"/>
              </w:rPr>
              <w:t>Item 4. Controls and Procedures</w:t>
            </w:r>
          </w:p>
        </w:tc>
        <w:tc>
          <w:tcPr>
            <w:tcW w:w="2580" w:type="dxa"/>
            <w:vAlign w:val="bottom"/>
          </w:tcPr>
          <w:p>
            <w:pPr>
              <w:spacing w:after="0"/>
              <w:rPr>
                <w:sz w:val="21"/>
                <w:szCs w:val="21"/>
                <w:color w:val="auto"/>
              </w:rPr>
            </w:pPr>
          </w:p>
        </w:tc>
        <w:tc>
          <w:tcPr>
            <w:tcW w:w="54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864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900" w:type="dxa"/>
            <w:vAlign w:val="bottom"/>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846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w w:val="91"/>
              </w:rPr>
              <w:t>Item 1A. Risk Factors</w:t>
            </w:r>
          </w:p>
        </w:tc>
        <w:tc>
          <w:tcPr>
            <w:tcW w:w="300" w:type="dxa"/>
            <w:vAlign w:val="bottom"/>
            <w:gridSpan w:val="2"/>
          </w:tcPr>
          <w:p>
            <w:pPr>
              <w:spacing w:after="0"/>
              <w:rPr>
                <w:sz w:val="21"/>
                <w:szCs w:val="21"/>
                <w:color w:val="auto"/>
              </w:rPr>
            </w:pPr>
          </w:p>
        </w:tc>
        <w:tc>
          <w:tcPr>
            <w:tcW w:w="846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rPr>
              <w:t>Item 6. Exhibits</w:t>
            </w:r>
          </w:p>
        </w:tc>
        <w:tc>
          <w:tcPr>
            <w:tcW w:w="87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16"/>
          </w:tcPr>
          <w:p>
            <w:pPr>
              <w:spacing w:after="0"/>
              <w:rPr>
                <w:sz w:val="20"/>
                <w:szCs w:val="20"/>
                <w:color w:val="auto"/>
              </w:rPr>
            </w:pPr>
            <w:r>
              <w:rPr>
                <w:rFonts w:ascii="Arial" w:cs="Arial" w:eastAsia="Arial" w:hAnsi="Arial"/>
                <w:sz w:val="18"/>
                <w:szCs w:val="18"/>
                <w:b w:val="1"/>
                <w:bCs w:val="1"/>
                <w:color w:val="0000FF"/>
              </w:rPr>
              <w:t>Signature</w:t>
            </w: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sz w:val="20"/>
                <w:szCs w:val="20"/>
                <w:color w:val="auto"/>
              </w:rPr>
            </w:pPr>
            <w:r>
              <w:rPr>
                <w:rFonts w:ascii="Arial" w:cs="Arial" w:eastAsia="Arial" w:hAnsi="Arial"/>
                <w:sz w:val="18"/>
                <w:szCs w:val="18"/>
                <w:b w:val="1"/>
                <w:bCs w:val="1"/>
                <w:color w:val="0000FF"/>
                <w:w w:val="92"/>
              </w:rPr>
              <w:t>Exhibit Index</w:t>
            </w:r>
          </w:p>
        </w:tc>
        <w:tc>
          <w:tcPr>
            <w:tcW w:w="964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723"/>
        </w:trPr>
        <w:tc>
          <w:tcPr>
            <w:tcW w:w="1060" w:type="dxa"/>
            <w:vAlign w:val="bottom"/>
            <w:tcBorders>
              <w:top w:val="single" w:sz="8" w:color="0000FF"/>
            </w:tcBorders>
            <w:gridSpan w:val="3"/>
          </w:tcPr>
          <w:p>
            <w:pPr>
              <w:spacing w:after="0"/>
              <w:rPr>
                <w:sz w:val="24"/>
                <w:szCs w:val="24"/>
                <w:color w:val="auto"/>
              </w:rPr>
            </w:pPr>
          </w:p>
        </w:tc>
        <w:tc>
          <w:tcPr>
            <w:tcW w:w="6300" w:type="dxa"/>
            <w:vAlign w:val="bottom"/>
            <w:gridSpan w:val="9"/>
          </w:tcPr>
          <w:p>
            <w:pPr>
              <w:jc w:val="right"/>
              <w:ind w:right="1640"/>
              <w:spacing w:after="0"/>
              <w:rPr>
                <w:sz w:val="20"/>
                <w:szCs w:val="20"/>
                <w:color w:val="auto"/>
              </w:rPr>
            </w:pPr>
            <w:r>
              <w:rPr>
                <w:rFonts w:ascii="Arial" w:cs="Arial" w:eastAsia="Arial" w:hAnsi="Arial"/>
                <w:sz w:val="18"/>
                <w:szCs w:val="18"/>
                <w:color w:val="auto"/>
              </w:rPr>
              <w:t>2</w:t>
            </w: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260" w:type="dxa"/>
            <w:vAlign w:val="bottom"/>
          </w:tcPr>
          <w:p>
            <w:pPr>
              <w:spacing w:after="0"/>
              <w:rPr>
                <w:sz w:val="24"/>
                <w:szCs w:val="24"/>
                <w:color w:val="auto"/>
              </w:rPr>
            </w:pPr>
          </w:p>
        </w:tc>
        <w:tc>
          <w:tcPr>
            <w:tcW w:w="7320" w:type="dxa"/>
            <w:vAlign w:val="bottom"/>
          </w:tcPr>
          <w:p>
            <w:pPr>
              <w:jc w:val="center"/>
              <w:ind w:left="1510"/>
              <w:spacing w:after="0"/>
              <w:rPr>
                <w:sz w:val="20"/>
                <w:szCs w:val="20"/>
                <w:color w:val="auto"/>
              </w:rPr>
            </w:pPr>
            <w:r>
              <w:rPr>
                <w:rFonts w:ascii="Arial" w:cs="Arial" w:eastAsia="Arial" w:hAnsi="Arial"/>
                <w:sz w:val="18"/>
                <w:szCs w:val="18"/>
                <w:b w:val="1"/>
                <w:bCs w:val="1"/>
                <w:color w:val="auto"/>
              </w:rPr>
              <w:t>AVIAT NETWORKS, INC.</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732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320" w:type="dxa"/>
            <w:vAlign w:val="bottom"/>
          </w:tcPr>
          <w:p>
            <w:pPr>
              <w:jc w:val="center"/>
              <w:ind w:left="149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12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18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w w:val="93"/>
              </w:rPr>
              <w:t>September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2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 of services</w:t>
            </w:r>
          </w:p>
        </w:tc>
        <w:tc>
          <w:tcPr>
            <w:tcW w:w="7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2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Interest income</w:t>
            </w: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0"/>
              </w:rPr>
              <w:t>Interest expense</w:t>
            </w:r>
          </w:p>
        </w:tc>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Basic and diluted income (loss) per common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0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6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3"/>
                <w:szCs w:val="13"/>
                <w:color w:val="auto"/>
              </w:rPr>
            </w:pPr>
          </w:p>
        </w:tc>
        <w:tc>
          <w:tcPr>
            <w:tcW w:w="13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Change in unrealized gain (loss) on cash flow hedges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realized net gain (loss) on cash flow</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hedges included in net loss</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120" w:type="dxa"/>
            <w:vAlign w:val="bottom"/>
          </w:tcPr>
          <w:p>
            <w:pPr>
              <w:ind w:left="680"/>
              <w:spacing w:after="0"/>
              <w:rPr>
                <w:sz w:val="20"/>
                <w:szCs w:val="20"/>
                <w:color w:val="auto"/>
              </w:rPr>
            </w:pPr>
            <w:r>
              <w:rPr>
                <w:rFonts w:ascii="Arial" w:cs="Arial" w:eastAsia="Arial" w:hAnsi="Arial"/>
                <w:sz w:val="18"/>
                <w:szCs w:val="18"/>
                <w:color w:val="auto"/>
              </w:rPr>
              <w:t>Net change in unrealized gain or loss on cash flow hedges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812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w:t>
            </w:r>
          </w:p>
        </w:tc>
        <w:tc>
          <w:tcPr>
            <w:tcW w:w="300" w:type="dxa"/>
            <w:vAlign w:val="bottom"/>
          </w:tcPr>
          <w:p>
            <w:pPr>
              <w:spacing w:after="0"/>
              <w:rPr>
                <w:sz w:val="14"/>
                <w:szCs w:val="14"/>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28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Bad debt expenses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Charges for inventory write-downs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Unbilled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Customer service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Income taxes payable or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340" w:type="dxa"/>
            <w:vAlign w:val="bottom"/>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disbursed related to sale of WiMAX business, net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34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by us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ended September 27, 2013 (the “first quarter of fiscal 2014”)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quarter of fiscal 2014 and 2013 included 13 weeks in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the fiscal 2013 financial statements have been reclassified to conform to the fiscal 2014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quarter of fiscal 2014, as compared to the significant accounting policies described in our Annual Report on Form 10-K for the fiscal year ended June 28,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February 2013, the Financial Accounting Standards Board (“FASB”) issued an accounting standards update on reporting amounts reclassified out of accumulated other comprehensive income (“AOCI”), which requires companies to present information about reclassifications out of AOCI in one place. Companies also are required to present reclassifications by component when reporting changes in AOCI balances. For significant items reclassified out of AOCI to net income in their entirety in the period, companies must report the effect of the reclassifications on the respective line items in the statement where net income is presented. This information may be provided either in the notes or parenthetically on the face of that statement as long as all the information is disclosed in a single location. For items not reclassified to net income in their entirety in the period, companies must cross-reference in a note to other required disclosures. We adopted this new guidance in the first quarter of fiscal 2014 and the adoption did not impact our condensed consolidated financial position or results of operations as the guidance relates only to financial statement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July 2013, the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This new guidance is to be adopted prospectively and is effective for us beginning in our first quarter of fiscal 2015. The adoption of this standard will have no effect on our consolidated financial position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the first quarter of fiscal 2014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September 27,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8" w:name="page9"/>
    <w:bookmarkEnd w:id="8"/>
    <w:p>
      <w:pPr>
        <w:ind w:right="220"/>
        <w:spacing w:after="0" w:line="277" w:lineRule="auto"/>
        <w:rPr>
          <w:sz w:val="20"/>
          <w:szCs w:val="20"/>
          <w:color w:val="auto"/>
        </w:rPr>
      </w:pPr>
      <w:r>
        <w:rPr>
          <w:rFonts w:ascii="Arial" w:cs="Arial" w:eastAsia="Arial" w:hAnsi="Arial"/>
          <w:sz w:val="18"/>
          <w:szCs w:val="18"/>
          <w:color w:val="auto"/>
        </w:rPr>
        <w:t>anti-dilutive. The following table summarizes the potential weighted average shares of common stock outstanding that have been excluded from the diluted net loss per share calculations: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1137"/>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w w:val="87"/>
              </w:rPr>
              <w:t>September 28,</w:t>
            </w:r>
          </w:p>
        </w:tc>
        <w:tc>
          <w:tcPr>
            <w:tcW w:w="0" w:type="dxa"/>
            <w:vAlign w:val="bottom"/>
          </w:tcPr>
          <w:p>
            <w:pPr>
              <w:spacing w:after="0"/>
              <w:rPr>
                <w:sz w:val="1"/>
                <w:szCs w:val="1"/>
                <w:color w:val="auto"/>
              </w:rPr>
            </w:pPr>
          </w:p>
        </w:tc>
      </w:tr>
      <w:tr>
        <w:trPr>
          <w:trHeight w:val="192"/>
        </w:trPr>
        <w:tc>
          <w:tcPr>
            <w:tcW w:w="8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440"/>
              <w:spacing w:after="0"/>
              <w:rPr>
                <w:sz w:val="20"/>
                <w:szCs w:val="20"/>
                <w:color w:val="auto"/>
              </w:rPr>
            </w:pPr>
            <w:r>
              <w:rPr>
                <w:rFonts w:ascii="Arial" w:cs="Arial" w:eastAsia="Arial" w:hAnsi="Arial"/>
                <w:sz w:val="18"/>
                <w:szCs w:val="18"/>
                <w:color w:val="auto"/>
              </w:rPr>
              <w:t>Our receivables are summarized below:</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7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jc w:val="right"/>
              <w:ind w:right="117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regularly require letters of credit from some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w w:val="98"/>
              </w:rPr>
              <w:t>September 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4"/>
          </w:tcPr>
          <w:p>
            <w:pPr>
              <w:jc w:val="right"/>
              <w:ind w:right="105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0.1</w:t>
            </w:r>
          </w:p>
        </w:tc>
      </w:tr>
      <w:tr>
        <w:trPr>
          <w:trHeight w:val="486"/>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Our inventories are summarized below:</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99"/>
              <w:spacing w:after="0"/>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4"/>
          </w:tcPr>
          <w:p>
            <w:pPr>
              <w:jc w:val="right"/>
              <w:ind w:right="105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35.0</w:t>
            </w:r>
          </w:p>
        </w:tc>
      </w:tr>
      <w:tr>
        <w:trPr>
          <w:trHeight w:val="67"/>
        </w:trPr>
        <w:tc>
          <w:tcPr>
            <w:tcW w:w="834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44"/>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We recorded charges to adjust our inventory and customer service inventory to the lower of cost or market. These charges were primarily due to excess and obsolete inventory resulting from product transitioning and discontinuance, and deferred costs of revenue that we were unlikely to derive revenue from due to the disposition of our WiMAX business or customer insolvency. During the first quarter of fiscal 2014 and 2013, such charges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incurred were classified in cost of product sales or discontinued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035"/>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w w:val="96"/>
              </w:rPr>
              <w:t>September 28,</w:t>
            </w:r>
          </w:p>
        </w:tc>
      </w:tr>
      <w:tr>
        <w:trPr>
          <w:trHeight w:val="192"/>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r>
      <w:tr>
        <w:trPr>
          <w:trHeight w:val="250"/>
        </w:trPr>
        <w:tc>
          <w:tcPr>
            <w:tcW w:w="8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6"/>
          </w:tcPr>
          <w:p>
            <w:pPr>
              <w:ind w:left="340"/>
              <w:spacing w:after="0"/>
              <w:rPr>
                <w:sz w:val="20"/>
                <w:szCs w:val="20"/>
                <w:color w:val="auto"/>
              </w:rPr>
            </w:pPr>
            <w:r>
              <w:rPr>
                <w:rFonts w:ascii="Arial" w:cs="Arial" w:eastAsia="Arial" w:hAnsi="Arial"/>
                <w:sz w:val="14"/>
                <w:szCs w:val="14"/>
                <w:b w:val="1"/>
                <w:bCs w:val="1"/>
                <w:color w:val="auto"/>
              </w:rPr>
              <w:t>(In millions, except percentages)</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and deferred cost of sales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2.3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rPr>
              <w:t>0.2</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2.5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20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w w:val="97"/>
              </w:rPr>
              <w:t>2.2%</w:t>
            </w:r>
          </w:p>
        </w:tc>
      </w:tr>
      <w:tr>
        <w:trPr>
          <w:trHeight w:val="486"/>
        </w:trPr>
        <w:tc>
          <w:tcPr>
            <w:tcW w:w="820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8200" w:type="dxa"/>
            <w:vAlign w:val="bottom"/>
          </w:tcPr>
          <w:p>
            <w:pPr>
              <w:ind w:left="440"/>
              <w:spacing w:after="0"/>
              <w:rPr>
                <w:sz w:val="20"/>
                <w:szCs w:val="20"/>
                <w:color w:val="auto"/>
              </w:rPr>
            </w:pPr>
            <w:r>
              <w:rPr>
                <w:rFonts w:ascii="Arial" w:cs="Arial" w:eastAsia="Arial" w:hAnsi="Arial"/>
                <w:sz w:val="18"/>
                <w:szCs w:val="18"/>
                <w:color w:val="auto"/>
              </w:rPr>
              <w:t>Our property, plant and equipment are summarized below:</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8"/>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196"/>
        </w:trPr>
        <w:tc>
          <w:tcPr>
            <w:tcW w:w="8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gridSpan w:val="6"/>
          </w:tcPr>
          <w:p>
            <w:pPr>
              <w:jc w:val="right"/>
              <w:ind w:right="10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10.6</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48.8</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08"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060" w:type="dxa"/>
            <w:vAlign w:val="bottom"/>
            <w:gridSpan w:val="2"/>
          </w:tcPr>
          <w:p>
            <w:pPr>
              <w:jc w:val="center"/>
              <w:ind w:right="4"/>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6"/>
                <w:szCs w:val="16"/>
                <w:color w:val="auto"/>
              </w:rPr>
            </w:pPr>
          </w:p>
        </w:tc>
      </w:tr>
      <w:tr>
        <w:trPr>
          <w:trHeight w:val="196"/>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r>
      <w:tr>
        <w:trPr>
          <w:trHeight w:val="24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w:t>
            </w:r>
          </w:p>
        </w:tc>
      </w:tr>
      <w:tr>
        <w:trPr>
          <w:trHeight w:val="27"/>
        </w:trPr>
        <w:tc>
          <w:tcPr>
            <w:tcW w:w="6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We have accrued for the estimated cost to repair or replace products under warranty at the time of sale. Changes in our warranty liability, which are included as a component of other accrued expenses on the consolidated balance sheets, during the first quarter of fiscal 2014 and 2013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2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the principal market (or most advantageous market, in the absence of a principal market) for the asset or liability in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ind w:right="340"/>
        <w:spacing w:after="0" w:line="264" w:lineRule="auto"/>
        <w:rPr>
          <w:sz w:val="20"/>
          <w:szCs w:val="20"/>
          <w:color w:val="auto"/>
        </w:rPr>
      </w:pPr>
      <w:r>
        <w:rPr>
          <w:rFonts w:ascii="Arial" w:cs="Arial" w:eastAsia="Arial" w:hAnsi="Arial"/>
          <w:sz w:val="18"/>
          <w:szCs w:val="18"/>
          <w:color w:val="auto"/>
        </w:rPr>
        <w:t>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27"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cost, estimated fair values and valuation input levels of our assets and liabilities that are measured at fair value on a recurring basis as of September 27, 2013 and June 28, 2013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September 27, 2013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28, 2013</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3"/>
                <w:szCs w:val="13"/>
                <w:color w:val="auto"/>
              </w:rPr>
            </w:pPr>
          </w:p>
        </w:tc>
        <w:tc>
          <w:tcPr>
            <w:tcW w:w="10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8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6"/>
              </w:rPr>
              <w:t>Level 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money market funds purchased from two major financial institutions. As of September 27, 2013 and June 28, 2013, these money market shares were valued at $1.00 net asset value per share by these financial institutions.</w:t>
      </w:r>
    </w:p>
    <w:p>
      <w:pPr>
        <w:spacing w:after="0" w:line="12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2014 and 2013, we had no transfers between levels of the fair value hierarchy of our assets or liabilities measured at fair value.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September 27, 2013, we amended and restated our credit facility with Silicon Valley Bank ("SVB") for a new term of three years expiring on September 26, 2016 (the “Maturity Date”). We also repaid the remaining $1.7 million outstanding balance of the original $8.3 million two-year term loan that we borrowed on January 30, 2012 to fund the redemption of the preference shares issued by our Singapore subsidiary. As of September 27, 2013, we had $6.0 million of outstanding revolving loans and $4.9 million aggregate principal amount of undrawn letters of credit under the credit facility. The $0.2 million costs of closing fees, commitment fees and legal fees that we incurred in connection with amending and restating the credit facility were deferred and will be amortized over the term of the credit facility.</w:t>
      </w:r>
    </w:p>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amended and restated credit facility provides for a committed amount of up to $50.0 million, with a $30.0 million sublimit that can be borrowed by our Singapore subsidiary. Borrowings that may be advanced under the amended and restated credit facility at the lesser of $50.0 million or a borrowing base equal to $10.0 million plus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spacing w:after="0" w:line="273" w:lineRule="auto"/>
        <w:rPr>
          <w:sz w:val="20"/>
          <w:szCs w:val="20"/>
          <w:color w:val="auto"/>
        </w:rPr>
      </w:pPr>
      <w:r>
        <w:rPr>
          <w:rFonts w:ascii="Arial" w:cs="Arial" w:eastAsia="Arial" w:hAnsi="Arial"/>
          <w:sz w:val="17"/>
          <w:szCs w:val="17"/>
          <w:color w:val="auto"/>
        </w:rPr>
        <w:t>specified percentage of the value of eligible accounts receivable of the Company, subject to certain reserves and eligibility criteria. The amended and restated credit facility can also be utilized to issue letters of credit. Principal, together with all accrued and unpaid interest, is due and payable on the Maturity Date, provided that we may request, up to two times, one-year extensions of the Maturity Date, such extensions to be granted at the sole discretion of SVB. We may prepay loans under the amended and restated credit facility in whole or in part at any time without premium or penalty. We currently do not expect to repay any loans within the next 12 months. As of September 27, 2013, available credit under the amended and restated credit facility was $39.1 million reflecting the advanced borrowings of $6.0 million and outstanding letters of credit of $4.9 million.</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Borrowings under the amended and restated credit facility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Interest on Eurodollar loans is offered at LIBOR plus a spread of between 2.00% to 2.75% based on our consolidated leverage ratio for the preceding four fiscal quarter period. Interest is due and payable in arrears monthly for prime rate loans and, for LIBOR rate loans, at the end of an interest period or at each three-month interval if the interest period is greater than three months. During the first quarter of fiscal 2014, the weighted average interest rate on our $6.0 million loan was 3.25%. The previous $8.3 million two-year term loan bore a fixed interest rate of 5% per annum.</w:t>
      </w:r>
    </w:p>
    <w:p>
      <w:pPr>
        <w:spacing w:after="0" w:line="11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amended and restated credit facility contains a minimum liquidity ratio covenant and a minimum profitability (EBITDA) covenant. The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credit facility. Upon an event of default, all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On October 29, 2013, we entered into Amendment No. 1 to the amended and restated credit facility with SVB providing for certain amendments to the minimum EBITDA covenant under the credit facility.</w:t>
      </w:r>
    </w:p>
    <w:p>
      <w:pPr>
        <w:spacing w:after="0" w:line="27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September 27, 2013, we were not in compliance with the financial covenants contained in the amended and restated credit agreement. As a result of this non-compliance and the fact that the credit facility contains a subjective acceleration clause which could be triggered by the lender, the $6.0 million advanced borrowing was classified as a current debt as of September 27, 2013. Following the amendment to the amended and restated credit agreement, we were in compliance with all the financial covenants under the amended and restated credit agreement.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2014, estimated additional costs to be incurred and estimated total costs expected to be incurred as of September 27, 2013 under the Fiscal 2013-2014 Plan:</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24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Estimated Additional</w:t>
            </w:r>
          </w:p>
        </w:tc>
        <w:tc>
          <w:tcPr>
            <w:tcW w:w="220" w:type="dxa"/>
            <w:vAlign w:val="bottom"/>
          </w:tcPr>
          <w:p>
            <w:pPr>
              <w:spacing w:after="0"/>
              <w:rPr>
                <w:sz w:val="14"/>
                <w:szCs w:val="14"/>
                <w:color w:val="auto"/>
              </w:rPr>
            </w:pPr>
          </w:p>
        </w:tc>
        <w:tc>
          <w:tcPr>
            <w:tcW w:w="16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During Quarter Ended</w:t>
            </w:r>
          </w:p>
        </w:tc>
        <w:tc>
          <w:tcPr>
            <w:tcW w:w="24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Costs to be</w:t>
            </w:r>
          </w:p>
        </w:tc>
        <w:tc>
          <w:tcPr>
            <w:tcW w:w="220" w:type="dxa"/>
            <w:vAlign w:val="bottom"/>
          </w:tcPr>
          <w:p>
            <w:pPr>
              <w:spacing w:after="0"/>
              <w:rPr>
                <w:sz w:val="12"/>
                <w:szCs w:val="12"/>
                <w:color w:val="auto"/>
              </w:rPr>
            </w:pPr>
          </w:p>
        </w:tc>
        <w:tc>
          <w:tcPr>
            <w:tcW w:w="16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27, 2013</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27, 2013</w:t>
            </w: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Incurred</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5"/>
          </w:tcPr>
          <w:p>
            <w:pPr>
              <w:ind w:left="13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14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700" w:type="dxa"/>
            <w:vAlign w:val="bottom"/>
          </w:tcPr>
          <w:p>
            <w:pPr>
              <w:jc w:val="right"/>
              <w:ind w:right="39"/>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3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2013-2014 Plan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46" w:right="259" w:bottom="1440" w:gutter="0" w:footer="0" w:header="0"/>
        </w:sectPr>
      </w:pPr>
    </w:p>
    <w:bookmarkStart w:id="12" w:name="page13"/>
    <w:bookmarkEnd w:id="12"/>
    <w:p>
      <w:pPr>
        <w:ind w:right="280" w:firstLine="432"/>
        <w:spacing w:after="0" w:line="259" w:lineRule="auto"/>
        <w:rPr>
          <w:sz w:val="20"/>
          <w:szCs w:val="20"/>
          <w:color w:val="auto"/>
        </w:rPr>
      </w:pPr>
      <w:r>
        <w:rPr>
          <w:rFonts w:ascii="Arial" w:cs="Arial" w:eastAsia="Arial" w:hAnsi="Arial"/>
          <w:sz w:val="18"/>
          <w:szCs w:val="18"/>
          <w:color w:val="auto"/>
        </w:rPr>
        <w:t>During the first quarter of fiscal 2014, our severance and benefits charges under the Fiscal 2013-2014 Plan primarily related to reductions in force in Santa Clara, California and several international locations. Facilities and other charges in the first quarter of fiscal 2014 included obligations under a non-cancelable lease for facilities that we ceased to use at our Santa Clara, California headquarters. We intend to complete a majority of the remaining restructuring activities in fiscal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175"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 The initiatives under the Fiscal 2011 Plan were completed in fiscal 2013.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costs incurred during the first quarter of fiscal 2013 and total costs incurred under the Fiscal 2011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Incurred During</w:t>
            </w:r>
          </w:p>
        </w:tc>
        <w:tc>
          <w:tcPr>
            <w:tcW w:w="160" w:type="dxa"/>
            <w:vAlign w:val="bottom"/>
          </w:tcPr>
          <w:p>
            <w:pPr>
              <w:spacing w:after="0"/>
              <w:rPr>
                <w:sz w:val="14"/>
                <w:szCs w:val="14"/>
                <w:color w:val="auto"/>
              </w:rPr>
            </w:pPr>
          </w:p>
        </w:tc>
        <w:tc>
          <w:tcPr>
            <w:tcW w:w="15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 September</w:t>
            </w:r>
          </w:p>
        </w:tc>
        <w:tc>
          <w:tcPr>
            <w:tcW w:w="160" w:type="dxa"/>
            <w:vAlign w:val="bottom"/>
          </w:tcPr>
          <w:p>
            <w:pPr>
              <w:spacing w:after="0"/>
              <w:rPr>
                <w:sz w:val="12"/>
                <w:szCs w:val="12"/>
                <w:color w:val="auto"/>
              </w:rPr>
            </w:pPr>
          </w:p>
        </w:tc>
        <w:tc>
          <w:tcPr>
            <w:tcW w:w="15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(Completed in Fiscal</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28, 2012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2013)</w:t>
            </w: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782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quarter of fiscal 2013, we continued executing restructuring activities to reduce our operating costs worldwide under the Fiscal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related to our office leases in California and North Carolina. The information in the following table summarizes the changes in our restructuring liabilities during the first quarter of fiscal 2014: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Severance and</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28,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September 27,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September 27, 2013</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September 27, 2013</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ind w:right="60"/>
        <w:spacing w:after="0" w:line="276" w:lineRule="auto"/>
        <w:rPr>
          <w:sz w:val="20"/>
          <w:szCs w:val="20"/>
          <w:color w:val="auto"/>
        </w:rPr>
      </w:pPr>
      <w:r>
        <w:rPr>
          <w:rFonts w:ascii="Arial" w:cs="Arial" w:eastAsia="Arial" w:hAnsi="Arial"/>
          <w:sz w:val="17"/>
          <w:szCs w:val="17"/>
          <w:color w:val="auto"/>
        </w:rPr>
        <w:t>receive beyond the $0.4 million nor the probability of any such payment. Accordingly, any future consideration will be recorded as a contingent gain in the period that it is received. As of September 27, 2013, we had received $0.1 million of such contingent payments. EION is also entitled to receive cash payments of up to $2.0 million upon collection of certain WiMAX accounts receivable, of which $1.6 million had been paid by us to EION and $0.3 million was reversed resulting from the write-down of the corresponding WiMAX accounts receivable as of September 27, 2013. As of September 27, 2013 and June 28, 2013, our accrued liabilities related to the disposition of the WiMAX business were $0.1 million and $0.1 million, respectively.</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The loss incurred in the first quarter of fiscal 2013 was primarily due to write-down of certain WiMAX deferred cost of sales that were not transferred to EION and certain expenses we incurred to support a remaining customer obligation.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2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(loss) from operations related to WiMAX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September 27, 2013,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1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6"/>
          <w:szCs w:val="16"/>
          <w:color w:val="auto"/>
        </w:rPr>
        <w:t>During the first quarter of fiscal 2014, we granted options to purchase 1,098,107 shares of our common stock to employees under our 2007 Stock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2014, 1,121,128 performance shares vested upon the achievement of financial performance targets.</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3,617,307 as of September 27,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first quarter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w w:val="94"/>
              </w:rPr>
              <w:t>Quarter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gridSpan w:val="4"/>
            <w:vMerge w:val="continue"/>
          </w:tcPr>
          <w:p>
            <w:pPr>
              <w:spacing w:after="0"/>
              <w:rPr>
                <w:sz w:val="16"/>
                <w:szCs w:val="16"/>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24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0" w:type="dxa"/>
            <w:vAlign w:val="bottom"/>
            <w:gridSpan w:val="4"/>
            <w:vMerge w:val="continue"/>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24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9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As of September 27, 2013, there was $3.9 million of total unrecognized compensation expense related to nonvested share-based awards granted under our 2007 Stock Plan. This expense is expected to be recognized over a weighted-average period of 2.0 years.The fair value of each option grant under our 2007 Stock Plan was estimated using the Black-Scholes option pricing model on the date of grant. A summary of the significant weighted average assumptions we used in the Black-Scholes valuation model is as follows (there were no options granted in the first quarter of fiscal 2013):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4"/>
              </w:rPr>
              <w:t>Quarter Ended</w:t>
            </w:r>
          </w:p>
        </w:tc>
        <w:tc>
          <w:tcPr>
            <w:tcW w:w="1320" w:type="dxa"/>
            <w:vAlign w:val="bottom"/>
            <w:tcBorders>
              <w:bottom w:val="single" w:sz="8" w:color="auto"/>
            </w:tcBorders>
          </w:tcPr>
          <w:p>
            <w:pPr>
              <w:spacing w:after="0"/>
              <w:rPr>
                <w:sz w:val="16"/>
                <w:szCs w:val="16"/>
                <w:color w:val="auto"/>
              </w:rPr>
            </w:pPr>
          </w:p>
        </w:tc>
      </w:tr>
      <w:tr>
        <w:trPr>
          <w:trHeight w:val="152"/>
        </w:trPr>
        <w:tc>
          <w:tcPr>
            <w:tcW w:w="7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September 27,</w:t>
            </w:r>
          </w:p>
        </w:tc>
        <w:tc>
          <w:tcPr>
            <w:tcW w:w="13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7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N/A</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8"/>
                <w:szCs w:val="18"/>
                <w:color w:val="auto"/>
                <w:w w:val="97"/>
              </w:rPr>
              <w:t>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N/A</w:t>
            </w: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7"/>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N/A</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8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N/A</w:t>
            </w: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N/A</w:t>
            </w:r>
          </w:p>
        </w:tc>
      </w:tr>
      <w:tr>
        <w:trPr>
          <w:trHeight w:val="27"/>
        </w:trPr>
        <w:tc>
          <w:tcPr>
            <w:tcW w:w="7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24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first quarter of fiscal 2014 and 2013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Quarter Ended</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2013</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28, 2012</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49.0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the first quarter of fiscal 2014 and 2013, we had one international customer in Africa (Mobile Telephone Networks Group or MTN Group) that accounted for more than 10% of our total revenue. MTN Group also accounted for more than 10% of our accounts receivable at September 27, 2013 and June 28,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2014. We have a number of years with open tax audits which vary from jurisdiction to jurisdiction. Our major tax jurisdictions include the U.S., Singapore and Nigeria. The earliest years still open and subject to potential audits for these jurisdictions are as follows: U.S. — 2003; Singapore — 2006; and Nigeria — 2004.</w:t>
      </w:r>
    </w:p>
    <w:p>
      <w:pPr>
        <w:spacing w:after="0" w:line="13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first quarter of fiscal 2014, we did not receive any new assessments from the taxing authorities. In prior years, we received several assessments from the taxing authority in various foreign countries challenging certain tax benefits recognized in those jurisdictions. We continue to protest these assessments and defend the positions that we have taken with regard to these tax benefits.</w:t>
      </w:r>
    </w:p>
    <w:p>
      <w:pPr>
        <w:spacing w:after="0" w:line="12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determination of our provision for the first quarter of fiscal 2014 and 2013 was based on our estimated annual effective tax rate adjusted for losses in separate jurisdictions for which no tax benefit can be recognized. The tax expense for the first quarter of fiscal 2014 was primarily attributable to tax expense related to actual year-to-date income of various foreign entities.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w:t>
      </w:r>
    </w:p>
    <w:p>
      <w:pPr>
        <w:spacing w:after="0" w:line="18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amount of unrecognized tax benefits may increase in the next twelve months. We believe that we have adequately provided for any reasonably foreseeable outcomes related to our tax audits.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 and Hedging Activities</w:t>
      </w:r>
    </w:p>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Cash Flow Hedges</w:t>
      </w:r>
      <w:r>
        <w:rPr>
          <w:rFonts w:ascii="Arial" w:cs="Arial" w:eastAsia="Arial" w:hAnsi="Arial"/>
          <w:sz w:val="17"/>
          <w:szCs w:val="17"/>
          <w:color w:val="auto"/>
        </w:rPr>
        <w:t>. We use currency forward contracts to hedge exposures related to certain forecasted foreign currency transactions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product costs, operating expenses and intercompany transactions. As of September 27, 2013, hedged transactions included our customer and intercompany backlog and, to a much lesser extent, outstanding purchase commitments denominated primarily in the Australian dollar, Euro, Polish zloty and Republic of South Africa rand. These derivatives are designated as cash flow hedges and typically have maturities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from one to three months with a maximum of six months, which in general closely match the underlying forecasted transaction in duration.</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of September 27, 2013, it is expected that $0.2 million of derivative net loss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on outstanding derivatives depend on the exchange rates in effect when they mature.</w:t>
      </w:r>
    </w:p>
    <w:p>
      <w:pPr>
        <w:spacing w:after="0" w:line="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September 27, 2013 and June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27, 2013</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20"/>
              <w:spacing w:after="0"/>
              <w:rPr>
                <w:sz w:val="20"/>
                <w:szCs w:val="20"/>
                <w:color w:val="auto"/>
              </w:rPr>
            </w:pPr>
            <w:r>
              <w:rPr>
                <w:rFonts w:ascii="Arial" w:cs="Arial" w:eastAsia="Arial" w:hAnsi="Arial"/>
                <w:sz w:val="18"/>
                <w:szCs w:val="18"/>
                <w:color w:val="auto"/>
              </w:rPr>
              <w:t>Australian dollar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78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8"/>
                <w:szCs w:val="18"/>
                <w:color w:val="auto"/>
              </w:rPr>
              <w:t>Total cash flow hedges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Australian dollar</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Indian rupee</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Philippine peso</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Polish zloty</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Republic of South Africa rand</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non-designated hedges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presents the fair value of derivative instruments included within our condensed consolidated balance sheet as of September 27, 2013 and June 28, 2013:</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80" w:type="dxa"/>
            <w:vAlign w:val="bottom"/>
          </w:tcPr>
          <w:p>
            <w:pPr>
              <w:spacing w:after="0"/>
              <w:rPr>
                <w:sz w:val="13"/>
                <w:szCs w:val="13"/>
                <w:color w:val="auto"/>
              </w:rPr>
            </w:pPr>
          </w:p>
        </w:tc>
        <w:tc>
          <w:tcPr>
            <w:tcW w:w="84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9"/>
              </w:rPr>
              <w:t>June 28,</w:t>
            </w:r>
          </w:p>
        </w:tc>
        <w:tc>
          <w:tcPr>
            <w:tcW w:w="120" w:type="dxa"/>
            <w:vAlign w:val="bottom"/>
          </w:tcPr>
          <w:p>
            <w:pPr>
              <w:spacing w:after="0"/>
              <w:rPr>
                <w:sz w:val="13"/>
                <w:szCs w:val="13"/>
                <w:color w:val="auto"/>
              </w:rPr>
            </w:pPr>
          </w:p>
        </w:tc>
        <w:tc>
          <w:tcPr>
            <w:tcW w:w="13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220" w:type="dxa"/>
            <w:vAlign w:val="bottom"/>
          </w:tcPr>
          <w:p>
            <w:pPr>
              <w:spacing w:after="0"/>
              <w:rPr>
                <w:sz w:val="13"/>
                <w:szCs w:val="13"/>
                <w:color w:val="auto"/>
              </w:rPr>
            </w:pPr>
          </w:p>
        </w:tc>
        <w:tc>
          <w:tcPr>
            <w:tcW w:w="9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48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00" w:type="dxa"/>
            <w:vAlign w:val="bottom"/>
            <w:vMerge w:val="continue"/>
          </w:tcPr>
          <w:p>
            <w:pPr>
              <w:spacing w:after="0"/>
              <w:rPr>
                <w:sz w:val="10"/>
                <w:szCs w:val="10"/>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0"/>
                <w:szCs w:val="10"/>
                <w:color w:val="auto"/>
              </w:rPr>
            </w:pPr>
          </w:p>
        </w:tc>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48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00" w:type="dxa"/>
            <w:vAlign w:val="bottom"/>
            <w:vMerge w:val="continue"/>
          </w:tcPr>
          <w:p>
            <w:pPr>
              <w:spacing w:after="0"/>
              <w:rPr>
                <w:sz w:val="10"/>
                <w:szCs w:val="10"/>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4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location and amount of the gains and losses on derivative instruments reported in our financial statements:</w:t>
      </w:r>
    </w:p>
    <w:p>
      <w:pPr>
        <w:spacing w:after="0" w:line="242"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23495</wp:posOffset>
            </wp:positionV>
            <wp:extent cx="2160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200" w:val="left"/>
          <w:tab w:leader="none" w:pos="9940" w:val="left"/>
        </w:tabs>
        <w:rPr>
          <w:sz w:val="20"/>
          <w:szCs w:val="20"/>
          <w:color w:val="auto"/>
        </w:rPr>
      </w:pPr>
      <w:r>
        <w:rPr>
          <w:rFonts w:ascii="Arial" w:cs="Arial" w:eastAsia="Arial" w:hAnsi="Arial"/>
          <w:sz w:val="14"/>
          <w:szCs w:val="14"/>
          <w:b w:val="1"/>
          <w:bCs w:val="1"/>
          <w:color w:val="auto"/>
        </w:rPr>
        <w:t>Locations of Gains (Losses) on Derivative Instruments</w:t>
      </w:r>
      <w:r>
        <w:rPr>
          <w:sz w:val="20"/>
          <w:szCs w:val="20"/>
          <w:color w:val="auto"/>
        </w:rPr>
        <w:tab/>
      </w:r>
      <w:r>
        <w:rPr>
          <w:rFonts w:ascii="Arial" w:cs="Arial" w:eastAsia="Arial" w:hAnsi="Arial"/>
          <w:sz w:val="14"/>
          <w:szCs w:val="14"/>
          <w:b w:val="1"/>
          <w:bCs w:val="1"/>
          <w:color w:val="auto"/>
        </w:rPr>
        <w:t>September 27, 2013</w:t>
      </w:r>
      <w:r>
        <w:rPr>
          <w:sz w:val="20"/>
          <w:szCs w:val="20"/>
          <w:color w:val="auto"/>
        </w:rPr>
        <w:tab/>
      </w:r>
      <w:r>
        <w:rPr>
          <w:rFonts w:ascii="Arial" w:cs="Arial" w:eastAsia="Arial" w:hAnsi="Arial"/>
          <w:sz w:val="12"/>
          <w:szCs w:val="12"/>
          <w:b w:val="1"/>
          <w:bCs w:val="1"/>
          <w:color w:val="auto"/>
        </w:rPr>
        <w:t>September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as cash flow hedges (foreign exchange forward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1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associated with the derivatives' time value recognized in</w:t>
            </w: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1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840" w:type="dxa"/>
            <w:vAlign w:val="bottom"/>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cost of product sales</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Not designated as cash flow hedges (foreign exchange forward contracts):</w:t>
            </w:r>
          </w:p>
        </w:tc>
        <w:tc>
          <w:tcPr>
            <w:tcW w:w="1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September 27, 2013, future minimum lease payments for our headquarters total $16.9 million through April 2020. We vacated approximately half of our Santa Clara headquarters building and made it available for sublease at September 27, 2013.</w:t>
      </w:r>
    </w:p>
    <w:p>
      <w:pPr>
        <w:spacing w:after="0" w:line="13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27, 2013, our future minimum lease payments under all non-cancelable operating leases with an initial lease term in excess of one year are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(3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$0.5 million as of September 27, 2013.</w:t>
      </w:r>
    </w:p>
    <w:p>
      <w:pPr>
        <w:spacing w:after="0" w:line="12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$2.2 million and $2.1 million in the first quarter of fiscal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27, 2013, we had outstanding purchase obligations with our suppliers or contract manufacturers of $61.8 million. In addition, we had contractual obligations of approximately $4.1 million associated with major capital purchases and service agreements as of September 27,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90"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27, 2013,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27, 2013, we had commercial commitments of $47.6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September 27, 2013,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38" w:right="239" w:bottom="1440" w:gutter="0" w:footer="0" w:header="0"/>
        </w:sectPr>
      </w:pPr>
    </w:p>
    <w:bookmarkStart w:id="19" w:name="page20"/>
    <w:bookmarkEnd w:id="19"/>
    <w:p>
      <w:pPr>
        <w:ind w:right="360"/>
        <w:spacing w:after="0" w:line="277" w:lineRule="auto"/>
        <w:rPr>
          <w:sz w:val="20"/>
          <w:szCs w:val="20"/>
          <w:color w:val="auto"/>
        </w:rPr>
      </w:pPr>
      <w:r>
        <w:rPr>
          <w:rFonts w:ascii="Arial" w:cs="Arial" w:eastAsia="Arial" w:hAnsi="Arial"/>
          <w:sz w:val="18"/>
          <w:szCs w:val="18"/>
          <w:color w:val="auto"/>
        </w:rPr>
        <w:t>given the lack of previous or current indemnification claims, we cannot estimate the maximum amount of potential future payments, if any, related to our indemnification provisions. As of September 27, 2013, we had not recorded any liabilities related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2013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2013 and 2014 Results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27, 2014 is referred to as “fiscal 2014” or “2014” and fiscal year ended June 28, 2013 as “fiscal 2013” or “2013”.</w:t>
      </w:r>
    </w:p>
    <w:p>
      <w:pPr>
        <w:spacing w:after="0" w:line="133"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8" w:right="259" w:bottom="1440" w:gutter="0" w:footer="0" w:header="0"/>
        </w:sectPr>
      </w:pPr>
    </w:p>
    <w:bookmarkStart w:id="21" w:name="page22"/>
    <w:bookmarkEnd w:id="21"/>
    <w:p>
      <w:pPr>
        <w:ind w:right="480"/>
        <w:spacing w:after="0" w:line="277" w:lineRule="auto"/>
        <w:rPr>
          <w:sz w:val="20"/>
          <w:szCs w:val="20"/>
          <w:color w:val="auto"/>
        </w:rPr>
      </w:pPr>
      <w:r>
        <w:rPr>
          <w:rFonts w:ascii="Arial" w:cs="Arial" w:eastAsia="Arial" w:hAnsi="Arial"/>
          <w:sz w:val="18"/>
          <w:szCs w:val="18"/>
          <w:color w:val="auto"/>
        </w:rPr>
        <w:t>over the long term. We believe that increases in revenue, operating profits and earnings per share are the key measures of financial performance for our business.</w:t>
      </w:r>
    </w:p>
    <w:p>
      <w:pPr>
        <w:spacing w:after="0" w:line="116"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Our strategic focus in fiscal 2014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w:t>
      </w:r>
    </w:p>
    <w:p>
      <w:pPr>
        <w:spacing w:after="0" w:line="12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During fiscal 2014, we expect to provide increased managed services, including network design, inventory management, final configuration and warehousing services, to certain customers in certain geographies. Our operating results may be impacted by the provision of these services to the extent that we may need to defer the recognition of revenue and incur upfront and ongoing expenses associated with the provision of these services that are not offset with additional revenue from product sales associated with these services until a future period.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the section entitled “Risk Factors” in Item 1A in our fiscal 2013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283"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During the first quarter of fiscal 2014, we secured orders and continued to expand our footprint with our customers in the mobile operator market using our current technology and service capabilities. The market for mobile backhaul continues to be our primary addressable market segment and the demand for increasing the backhaul capacity in our customers' networks continues to grow in line with our expectations. In North America we supported the long-term evolution ("LTE") deployments of our mobile operator customers, the public safety network deployments for state and local governments, and the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2013 Annual Report on Form 10-K, a number of factors could prevent us from achieving our objectives, including ongoing pricing pressures attributable to competition and macroeconomic conditions in the geographic markets that we service.</w:t>
      </w:r>
    </w:p>
    <w:p>
      <w:pPr>
        <w:spacing w:after="0" w:line="119"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During the first quarter of fiscal 2014, we incurred restructuring expenses that were taken to reduce our operational costs. We intend to complete a majority of the remaining restructuring activities under the Fiscal 2013-2014 Plan during fiscal 2014. See “Restructuring Charges”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746"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region for the first quarter of fiscal 2014 and 2013 and the related changes are shown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27, 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28, 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revenue in North America decreased $5.0 million, or 12.9%, during the first quarter of fiscal 2014 compared with the same quarter of fiscal 2013. There were marginal volume reductions in all North America customer groups compared with the same quarter in fiscal 2013. We attribute these variances to normal fluctuations in customer ordering patterns.</w:t>
      </w:r>
    </w:p>
    <w:p>
      <w:pPr>
        <w:spacing w:after="0" w:line="12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revenue in Africa and Middle East was down $12.0 million, or 24.5% for the first quarter in fiscal 2014 over the same quarter in fiscal 2013. The majority of this decrease was from our business in Nigeria, where our customers slowed down purchases at the first half of the calendar year which impacted our shipments during the first quarter of fiscal 2014.</w:t>
      </w:r>
    </w:p>
    <w:p>
      <w:pPr>
        <w:spacing w:after="0" w:line="12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Revenue in Europe and Russia declined $3.8 million, or 30.6%, for the first quarter of fiscal 2014 compared with the same quarter in fiscal 2013. This decline came from finishing a large project with one operator and from reduced purchases spread among several other customers. In the latter case, we do not believe this represents a change in the business, but rather more normal variances in purchase patterns.</w:t>
      </w:r>
    </w:p>
    <w:p>
      <w:pPr>
        <w:spacing w:after="0" w:line="11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Revenue in Latin America and Asia Pacific declined $0.8 million, or 5.4%, during the first quarter of fiscal 2014 compared with the same quarter in fiscal 2013. The decrease was primarily due to the timing of deliveries to one large operator and from the end of a project in fiscal 2013 that did not repeat in fiscal 2014.</w:t>
      </w:r>
    </w:p>
    <w:p>
      <w:pPr>
        <w:spacing w:after="0" w:line="12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revenue from product sales was down by $20.3 million, or 24.2%, for the first quarter of fiscal 2014 compared with the same quarter in fiscal 2013. The decrease came primarily from strong sales in Africa in the first quarter of fiscal 2013 that were not repeated at the same level in the first quarter of fiscal 2014. Product sales in the other sales sectors were less than the previous year, for the same reasons mentioned above. Our services revenue was down by $1.3 million, or 4.2%, during the first quarter of fiscal 2014 compared with the same quarter of fiscal 2013. The decrease in the first quarter of fiscal 2014 came from reduced services delivered in North America and Europe, offset in part by an increase in Middle East and Africa.</w:t>
      </w:r>
    </w:p>
    <w:p>
      <w:pPr>
        <w:spacing w:after="0" w:line="11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first quarter of fiscal 2014 and 2013, the MTN Group in Africa accounted for more than 10% of our total revenue. We have entered into separate and distinct contracts with MTN Group as well as separate arrangements with MTN Group subsidiaries. The loss of all MTN Group business could adversely affect our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September 27, 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September 28, 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Gross margin for the first quarter of fiscal 2014 was lower by $10.6 million, or 31.5%, compared with the same quarter of fiscal 2013. Most of the gross margin decrease came from lower sales volume in the quarter. Gross margin as a percentage of revenue decreased in the first quarter of fiscal 2014 compared with the same quarter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ind w:right="40"/>
        <w:spacing w:after="0" w:line="312" w:lineRule="auto"/>
        <w:rPr>
          <w:sz w:val="20"/>
          <w:szCs w:val="20"/>
          <w:color w:val="auto"/>
        </w:rPr>
      </w:pPr>
      <w:r>
        <w:rPr>
          <w:rFonts w:ascii="Arial" w:cs="Arial" w:eastAsia="Arial" w:hAnsi="Arial"/>
          <w:sz w:val="16"/>
          <w:szCs w:val="16"/>
          <w:color w:val="auto"/>
        </w:rPr>
        <w:t>fiscal 2013, primarily due to lower service gross margin rates realized in North America, lower product gross margin rates in Middle East and Africa, and less favorable absorption of supply chain costs driven by lower volume that were offset in part by improved gross margin rates in Europe and in Latin America and Asia Pacific. Much of these gross margin rate variances were driven by market price changes and changes in the mix of products and services delivered.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4"/>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27, 2013</w:t>
            </w:r>
          </w:p>
        </w:tc>
        <w:tc>
          <w:tcPr>
            <w:tcW w:w="10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2012</w:t>
            </w:r>
          </w:p>
        </w:tc>
        <w:tc>
          <w:tcPr>
            <w:tcW w:w="38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ind w:left="920"/>
              <w:spacing w:after="0"/>
              <w:rPr>
                <w:sz w:val="20"/>
                <w:szCs w:val="20"/>
                <w:color w:val="auto"/>
              </w:rPr>
            </w:pPr>
            <w:r>
              <w:rPr>
                <w:rFonts w:ascii="Arial" w:cs="Arial" w:eastAsia="Arial" w:hAnsi="Arial"/>
                <w:sz w:val="18"/>
                <w:szCs w:val="18"/>
                <w:color w:val="auto"/>
                <w:w w:val="97"/>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research and development (“R&amp;D”) expenses increased $0.4 million, or 4.3%, in the first quarter of fiscal 2014 compared with the same quarter in fiscal 2013. The increase in R&amp;D expenses was primarily due to increases in R&amp;D supply costs reflecting our investment in our new product development projects. We continue to invest in new product features, new functionality and lower cost platforms that we believe will enable our product lines to retain their technology leads in a cost effective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Borders>
              <w:bottom w:val="single" w:sz="8" w:color="auto"/>
            </w:tcBorders>
          </w:tcPr>
          <w:p>
            <w:pPr>
              <w:spacing w:after="0"/>
              <w:rPr>
                <w:sz w:val="16"/>
                <w:szCs w:val="16"/>
                <w:color w:val="auto"/>
              </w:rPr>
            </w:pP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27, 2013</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28, 2012</w:t>
            </w: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60" w:type="dxa"/>
            <w:vAlign w:val="bottom"/>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17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selling and administrative expenses declined $1.1 million, or 4.7%, in the first quarter of fiscal 2014 compared with the same quarter of fiscal 2013, primarily due to a $1.0 million reduction in bad debt expenses and a $0.5 million lower agent commissions driven by lower fee-based revenues, partially offset by a $0.4 million increase in personnel expenses and a $0.1 million increase in share-based compensation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is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During the first quarter of fiscal 2011, we initiated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the first quarter of fiscal 2014 and 2013 are summarized in the table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2013</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560" w:type="dxa"/>
            <w:vAlign w:val="bottom"/>
            <w:tcBorders>
              <w:top w:val="single" w:sz="8" w:color="auto"/>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By Plan:</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2013-2014 Plan</w:t>
            </w: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20"/>
              <w:spacing w:after="0"/>
              <w:rPr>
                <w:sz w:val="20"/>
                <w:szCs w:val="20"/>
                <w:color w:val="auto"/>
              </w:rPr>
            </w:pPr>
            <w:r>
              <w:rPr>
                <w:rFonts w:ascii="Arial" w:cs="Arial" w:eastAsia="Arial" w:hAnsi="Arial"/>
                <w:sz w:val="18"/>
                <w:szCs w:val="18"/>
                <w:color w:val="auto"/>
              </w:rPr>
              <w:t>Fiscal 2011 Plan</w:t>
            </w:r>
          </w:p>
        </w:tc>
        <w:tc>
          <w:tcPr>
            <w:tcW w:w="560" w:type="dxa"/>
            <w:vAlign w:val="bottom"/>
          </w:tcPr>
          <w:p>
            <w:pPr>
              <w:jc w:val="right"/>
              <w:ind w:right="37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 Restructuring charges for the first quarter of fiscal 2014 included a $0.6 million employee termination charge and a $3.9 million facilities charge related to ceasing to use a portion of our Santa Clara headquarters building. We intend to complete a majority of the remaining restructuring activities under the Fiscal 2013-2014 Plan in fiscal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260" w:type="dxa"/>
            <w:vAlign w:val="bottom"/>
          </w:tcPr>
          <w:p>
            <w:pPr>
              <w:spacing w:after="0"/>
              <w:rPr>
                <w:sz w:val="13"/>
                <w:szCs w:val="13"/>
                <w:color w:val="auto"/>
              </w:rPr>
            </w:pPr>
          </w:p>
        </w:tc>
        <w:tc>
          <w:tcPr>
            <w:tcW w:w="14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our credit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2013</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28, 2012</w:t>
            </w:r>
          </w:p>
        </w:tc>
        <w:tc>
          <w:tcPr>
            <w:tcW w:w="260" w:type="dxa"/>
            <w:vAlign w:val="bottom"/>
          </w:tcPr>
          <w:p>
            <w:pPr>
              <w:spacing w:after="0"/>
              <w:rPr>
                <w:sz w:val="22"/>
                <w:szCs w:val="22"/>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income (loss) from continuing operations before income taxes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6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27, 2013</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28, 2012</w:t>
            </w:r>
          </w:p>
        </w:tc>
        <w:tc>
          <w:tcPr>
            <w:tcW w:w="260" w:type="dxa"/>
            <w:vAlign w:val="bottom"/>
          </w:tcPr>
          <w:p>
            <w:pPr>
              <w:spacing w:after="0"/>
              <w:rPr>
                <w:sz w:val="22"/>
                <w:szCs w:val="22"/>
                <w:color w:val="auto"/>
              </w:rPr>
            </w:pPr>
          </w:p>
        </w:tc>
        <w:tc>
          <w:tcPr>
            <w:tcW w:w="1100" w:type="dxa"/>
            <w:vAlign w:val="bottom"/>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loss incurred in the first quarter of fiscal 2013 was primarily due to write-down of certain WiMAX deferred cost of sales that were not transferred to EION.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As of September 27, 2013, our total cash and cash equivalents were $79.3 million. Approximately $15.7 million, or 19.8% of our total cash and cash equivalents, was held by entities domiciled in the United States. The remaining balance of $63.6 million, or 80.2%, was held by entities outside the United States. Of the amount of cash and cash equivalents held by our foreign subsidiaries at September 27, 2013, $52.1 million was held in jurisdictions where our undistributed earnings are indefinitely reinvested, and would be subject to U.S. taxes if repatriated.</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September 27, 2013, our principal sources of liquidity consisted of the $79.3 million in cash and cash equivalents, $39.1 million of available credit under our $50.0 million credit facility with SVB,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quarter of fiscal 2014, our total cash and cash equivalents decreased by $10.7 million primarily due to $3.8 million of cash being used for capital expenditures, $2.8 million repayments on our term loan and $4.6 million of cash used in operating activities.</w:t>
      </w:r>
    </w:p>
    <w:p>
      <w:pPr>
        <w:spacing w:after="0" w:line="1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Cash used in operating activities was $4.6 million in the first quarter of fiscal 2014, primarily due to our net loss of $13.6 million adjusted by non-cash expense items of $3.7 million, decreases in accounts payable and accrued expenses of $2.0 million and an increase in unbilled costs of $1.0 million, partially offset by decreases in inventories of $1.2 million and in net prepaid income taxes of $1.2 million, and increases in customer advance payments and unearned income of $2.4 million and in accrued restructuring liabilities of $3.3 million. The decreases in accounts payable and accrued expenses were primarily due to the timing of payments to our contract manufacturers and suppliers as well as the payout of employee bonuses. The increase in unbilled costs was due to the timing of billing of projects. The decrease in inventories was due to improvement in supply chain efficiency. The decrease in net prepaid income taxes was due to a tax refund that we received from a tax jurisdiction during the quarter. The increase in customer advance payments and unearned income was due to the timing of revenue recognition on several large contracts. The increase in restructuring liabilities was primarily related to the facility exit cost liability we incurred associated with our Santa Clara headquarters building under the Fiscal 2013-2104 Plan. We used $1.2 million in cash during the first quarter of fiscal 2014 on expenses related to restructuring liabilities.</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During the remainder of fiscal year 2014, we expect to spend approximately $6.0 million for capital expenditures, primarily on equipment for development of new products and improvement of our information technology infrastructure which will enable more automated supply chain management and financial reporting and lead to process and cost efficiency and ability to scale our business. As of September 27, 2013, we had $15.9 million of reserve for uncertain tax positions. The majority of these tax provisions are related to audits of past years in several foreign jurisdictions where we have not received final assessments. Although we continue to defend our positions and will continue with the appeal processes, we expect to make a deposit with a taxing authority in the near future in the amount of $4.5 million. We are not able to estimate the timing and amount of the remaining tax payments.</w:t>
      </w:r>
    </w:p>
    <w:p>
      <w:pPr>
        <w:spacing w:after="0" w:line="11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or that anticipated operational improvements will be achieved. If we are unable to maintain cash balances or generate sufficient cash flow from operations to service our obligations or liability for uncertain tax positions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September 27, 2013, we amended and restated our credit facility with SVB for a new term of three years expiring on September 26, 2016. On October 29, 2013, we entered into Amendment No. 1 to the amended and restated credit facility providing for certain amendments to the minimum EBITDA covenant under the credit facility.</w:t>
      </w:r>
    </w:p>
    <w:p>
      <w:pPr>
        <w:spacing w:after="0" w:line="12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Our amended and restated credit facility provides for a committed amount of up to $50.0 million, with a $30.0 million sublimit that can be borrowed by our Singapore subsidiary. Borrowings that may be advanced under the amended and restated credit facility at the lesser of $50.0 million or a borrowing base equal to $10.0 million plus a specified percentage of the value of eligible accounts receivable of the Company, subject to certain reserves and eligibility criteria. The amended and restated credit facility can also be utilized to issue letters of credit. Principal, together with all accrued and unpaid interest, is due and payable on the Maturity Date, provided that we may request, up to two times, one-year extensions of the Maturity Date, such extensions to be granted at the sole discretion of SVB. We may prepay loans under the amended and restated credit facility in whole or in part at any time without premium or penalty. We currently do not expect to repay any loans within the next 12 months. As of September 27, 2013, available credit under the amended and restated credit facility was $39.1 million reflecting the borrowings of $6.0 million and outstanding letters of credit of $4.9 million.</w:t>
      </w:r>
    </w:p>
    <w:p>
      <w:pPr>
        <w:spacing w:after="0" w:line="11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 xml:space="preserve">Borrowings under the amended and restated credit facility carry an interest rate computed at the daily prime rate as published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Interest on Eurodollar loans is offered at LIBOR plus a spread of between 2.00% to 2.75% based on our consolidated leverage ratio for the preceding four fiscal quarter period. Interest is due and payable in arrears monthly for prime rate loans and, for LIBOR rate loans, at the end of an interest period or at each three-month interval if the interest period is greater than three months. During the first quarter of fiscal 2014, the weighted average interest rate on our $6.0 million loan was 3.25%. The previous $8.3 million two-year term loan bore a fixed interest rate of 5% per annum.</w:t>
      </w:r>
    </w:p>
    <w:p>
      <w:pPr>
        <w:spacing w:after="0" w:line="11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amended and restated credit facility contains a minimum liquidity ratio covenant and a minimum profitability (EBITDA) covenant. The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credit facility. Upon an event of default, all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September 27, 2013, we were not in compliance with the financial covenants contained in the amended and restated credit agreement. As a result of this non-compliance and the fact that the credit facility contains a subjective acceleration clause which could be triggered by the lender, the $6.0 million borrowings were classified as current debt as of September 27, 2013. Following the amendment to the amended and restated credit agreement, we were in compliance with all the financial covenants under the amended and restated credit agreement.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We have liabilities for restructuring activities totaling $6.0 million as of September 27, 2013, $3.0 million of which is classified as current liability and expected to be paid out in cash over the next 12 months. We expect to fund these future payments with available cash and cash flow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amounts disclosed in our fiscal 2013 Annual Report on Form 10-K include our commercial commitments and contractual obligations. During the first quarter of fiscal 2014,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2013 Annual Report on Form 10-K. Please refer to Note 13, "Commitments and Contingencies" in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7" w:name="page28"/>
    <w:bookmarkEnd w:id="27"/>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2013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As of September 27, 2013, we had foreign currency forward contracts outstanding with a total notional amount of $26.7 million consisting of 13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different currencies. The following is a summary of the gross notional amount of our outstanding contracts grouped by the underlying foreign currency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2013:</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Notional Contract</w:t>
            </w:r>
          </w:p>
        </w:tc>
        <w:tc>
          <w:tcPr>
            <w:tcW w:w="460" w:type="dxa"/>
            <w:vAlign w:val="bottom"/>
          </w:tcPr>
          <w:p>
            <w:pPr>
              <w:spacing w:after="0"/>
              <w:rPr>
                <w:sz w:val="14"/>
                <w:szCs w:val="14"/>
                <w:color w:val="auto"/>
              </w:rPr>
            </w:pPr>
          </w:p>
        </w:tc>
        <w:tc>
          <w:tcPr>
            <w:tcW w:w="1240" w:type="dxa"/>
            <w:vAlign w:val="bottom"/>
          </w:tcPr>
          <w:p>
            <w:pPr>
              <w:jc w:val="center"/>
              <w:ind w:right="376"/>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right="376"/>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2"/>
                <w:szCs w:val="12"/>
                <w:color w:val="auto"/>
              </w:rPr>
            </w:pPr>
          </w:p>
        </w:tc>
        <w:tc>
          <w:tcPr>
            <w:tcW w:w="1240" w:type="dxa"/>
            <w:vAlign w:val="bottom"/>
          </w:tcPr>
          <w:p>
            <w:pPr>
              <w:jc w:val="center"/>
              <w:ind w:right="37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900" w:type="dxa"/>
            <w:vAlign w:val="bottom"/>
            <w:gridSpan w:val="2"/>
            <w:vMerge w:val="continue"/>
          </w:tcPr>
          <w:p>
            <w:pPr>
              <w:spacing w:after="0"/>
              <w:rPr>
                <w:sz w:val="16"/>
                <w:szCs w:val="16"/>
                <w:color w:val="auto"/>
              </w:rPr>
            </w:pPr>
          </w:p>
        </w:tc>
        <w:tc>
          <w:tcPr>
            <w:tcW w:w="182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(Local Currency)</w:t>
            </w:r>
          </w:p>
        </w:tc>
        <w:tc>
          <w:tcPr>
            <w:tcW w:w="460" w:type="dxa"/>
            <w:vAlign w:val="bottom"/>
          </w:tcPr>
          <w:p>
            <w:pPr>
              <w:spacing w:after="0"/>
              <w:rPr>
                <w:sz w:val="16"/>
                <w:szCs w:val="16"/>
                <w:color w:val="auto"/>
              </w:rPr>
            </w:pPr>
          </w:p>
        </w:tc>
        <w:tc>
          <w:tcPr>
            <w:tcW w:w="1240" w:type="dxa"/>
            <w:vAlign w:val="bottom"/>
          </w:tcPr>
          <w:p>
            <w:pPr>
              <w:jc w:val="center"/>
              <w:ind w:right="37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820" w:type="dxa"/>
            <w:vAlign w:val="bottom"/>
          </w:tcPr>
          <w:p>
            <w:pPr>
              <w:jc w:val="right"/>
              <w:ind w:right="137"/>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161.5</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Philippine peso</w:t>
            </w:r>
          </w:p>
        </w:tc>
        <w:tc>
          <w:tcPr>
            <w:tcW w:w="1820" w:type="dxa"/>
            <w:vAlign w:val="bottom"/>
          </w:tcPr>
          <w:p>
            <w:pPr>
              <w:jc w:val="right"/>
              <w:ind w:right="137"/>
              <w:spacing w:after="0"/>
              <w:rPr>
                <w:sz w:val="20"/>
                <w:szCs w:val="20"/>
                <w:color w:val="auto"/>
              </w:rPr>
            </w:pPr>
            <w:r>
              <w:rPr>
                <w:rFonts w:ascii="Arial" w:cs="Arial" w:eastAsia="Arial" w:hAnsi="Arial"/>
                <w:sz w:val="18"/>
                <w:szCs w:val="18"/>
                <w:color w:val="auto"/>
              </w:rPr>
              <w:t>125.2</w:t>
            </w:r>
          </w:p>
        </w:tc>
        <w:tc>
          <w:tcPr>
            <w:tcW w:w="4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17.6</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820" w:type="dxa"/>
            <w:vAlign w:val="bottom"/>
          </w:tcPr>
          <w:p>
            <w:pPr>
              <w:jc w:val="right"/>
              <w:ind w:right="137"/>
              <w:spacing w:after="0"/>
              <w:rPr>
                <w:sz w:val="20"/>
                <w:szCs w:val="20"/>
                <w:color w:val="auto"/>
              </w:rPr>
            </w:pPr>
            <w:r>
              <w:rPr>
                <w:rFonts w:ascii="Arial" w:cs="Arial" w:eastAsia="Arial" w:hAnsi="Arial"/>
                <w:sz w:val="18"/>
                <w:szCs w:val="18"/>
                <w:color w:val="auto"/>
              </w:rPr>
              <w:t>17.9</w:t>
            </w:r>
          </w:p>
        </w:tc>
        <w:tc>
          <w:tcPr>
            <w:tcW w:w="4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8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foreign exchange loss recorded in our consolidated statements of operations during the first quarter of fiscal 2014 and 2013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102"/>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1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 10% adverse change in currency exchange rates for our foreign currency derivatives held as of September 27, 2013 would have an impact of approximately $2.1 million on the fair value of such instruments. This quantification of exposure to the market risk associated with foreign exchange financial instruments does not take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into account the offsetting impact of changes in the fair value of our foreign denominated assets, liabilities and firm commitments.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September 27, 2013 and June 28, 2013, the cumulative translation adjustment decreased our stockholders’ equity by $3.0 million and $3.4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SVB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We had $79.3 million in total cash and cash equivalents as of September 27, 2013. Cash equivalents totaled $30.5 million as of September 27, 2013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September 27, 2013 was three days, and these investments had an average yield of 0.21% per annum. A 10% change in interest rates on our cash and cash equivalents is not expected to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During the first quarter of fiscal 2014, we had $6.0 million of borrowings outstanding under our $50.0 million SVB credit facility that incurred interest at the prime rate. We also recorded interest on our $8.3 million borrowing drawn on January 30, 2012 and paid off on September 27, 2013 at the fixed rate of 5% per annum. During the first quarter of fiscal 2014, our weighted average interest rate was 3.7% and we recorded total interest expense of $0.1 million on these borrowings.</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possibility of human error and the circumvention or overriding of the controls and procedures. Accordingly, even effective disclosure controls and procedures can only provide reasonable assurance of achieving their control objectives.</w:t>
      </w:r>
    </w:p>
    <w:p>
      <w:pPr>
        <w:spacing w:after="0" w:line="11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our Chief Executive Officer and Chief Financial Officer,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27,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13,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2013 Annual Report on Form 10-K.</w:t>
      </w:r>
    </w:p>
    <w:p>
      <w:pPr>
        <w:spacing w:after="0" w:line="11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2013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46"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040" w:type="dxa"/>
            <w:vAlign w:val="bottom"/>
          </w:tcPr>
          <w:p>
            <w:pPr>
              <w:ind w:left="46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First Amended and Restated Loan and Security Agreement, dated as of September 27, 2013, by and among Silicon Valley Bank, Aviat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Networks, Inc., Aviat U.S. Inc. and Aviat Networks (S) PTE. LTD. (incorporated by reference to Exhibit 10.1 to the Current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 on September 27,2013, File No. 001-33278)</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4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240" w:top="796" w:right="9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142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040" w:type="dxa"/>
            <w:vAlign w:val="bottom"/>
          </w:tcPr>
          <w:p>
            <w:pPr>
              <w:ind w:left="46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First Amended and Restated Loan and Security Agreement, dated as of September 27, 2013, by and among Silicon Valley Bank, Aviat</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Networks, Inc., Aviat U.S. Inc. and Aviat Networks (S) PTE. LTD. (incorporated by reference to Exhibit 10.1 to the Current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 on September 27,2013, File No. 001-33278)</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6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4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27,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6,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27,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6,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27, 2013,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6, 2013</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5980" w:val="left"/>
        </w:tabs>
        <w:rPr>
          <w:sz w:val="20"/>
          <w:szCs w:val="20"/>
          <w:color w:val="auto"/>
        </w:rPr>
      </w:pPr>
      <w:r>
        <w:rPr>
          <w:rFonts w:ascii="Arial" w:cs="Arial" w:eastAsia="Arial" w:hAnsi="Arial"/>
          <w:sz w:val="18"/>
          <w:szCs w:val="18"/>
          <w:color w:val="auto"/>
        </w:rPr>
        <w:t>Date: November 6, 2013</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804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2019-12-07T14:38:19Z</dcterms:created>
  <dcterms:modified xsi:type="dcterms:W3CDTF">2019-12-07T14:38:19Z</dcterms:modified>
</cp:coreProperties>
</file>