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3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 the quarterly period ended December 28, 2018</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300" w:hanging="451"/>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414020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AVIAT NETWORKS,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Delaware</w:t>
            </w:r>
          </w:p>
        </w:tc>
        <w:tc>
          <w:tcPr>
            <w:tcW w:w="3780" w:type="dxa"/>
            <w:vAlign w:val="bottom"/>
          </w:tcPr>
          <w:p>
            <w:pPr>
              <w:jc w:val="right"/>
              <w:ind w:right="714"/>
              <w:spacing w:after="0"/>
              <w:rPr>
                <w:sz w:val="20"/>
                <w:szCs w:val="20"/>
                <w:color w:val="auto"/>
              </w:rPr>
            </w:pPr>
            <w:r>
              <w:rPr>
                <w:rFonts w:ascii="Arial" w:cs="Arial" w:eastAsia="Arial" w:hAnsi="Arial"/>
                <w:sz w:val="18"/>
                <w:szCs w:val="18"/>
                <w:b w:val="1"/>
                <w:bCs w:val="1"/>
                <w:color w:val="auto"/>
              </w:rPr>
              <w:t>20-5961564</w:t>
            </w:r>
          </w:p>
        </w:tc>
      </w:tr>
      <w:tr>
        <w:trPr>
          <w:trHeight w:val="251"/>
        </w:trPr>
        <w:tc>
          <w:tcPr>
            <w:tcW w:w="5480" w:type="dxa"/>
            <w:vAlign w:val="bottom"/>
          </w:tcPr>
          <w:p>
            <w:pPr>
              <w:jc w:val="center"/>
              <w:ind w:right="1214"/>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98"/>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860 N. McCarthy Blvd., Suite 200, Milpitas, California</w:t>
            </w:r>
          </w:p>
        </w:tc>
        <w:tc>
          <w:tcPr>
            <w:tcW w:w="3780" w:type="dxa"/>
            <w:vAlign w:val="bottom"/>
          </w:tcPr>
          <w:p>
            <w:pPr>
              <w:jc w:val="right"/>
              <w:ind w:right="934"/>
              <w:spacing w:after="0"/>
              <w:rPr>
                <w:sz w:val="20"/>
                <w:szCs w:val="20"/>
                <w:color w:val="auto"/>
              </w:rPr>
            </w:pPr>
            <w:r>
              <w:rPr>
                <w:rFonts w:ascii="Arial" w:cs="Arial" w:eastAsia="Arial" w:hAnsi="Arial"/>
                <w:sz w:val="18"/>
                <w:szCs w:val="18"/>
                <w:b w:val="1"/>
                <w:bCs w:val="1"/>
                <w:color w:val="auto"/>
              </w:rPr>
              <w:t>95035</w:t>
            </w:r>
          </w:p>
        </w:tc>
      </w:tr>
      <w:tr>
        <w:trPr>
          <w:trHeight w:val="251"/>
        </w:trPr>
        <w:tc>
          <w:tcPr>
            <w:tcW w:w="5480" w:type="dxa"/>
            <w:vAlign w:val="bottom"/>
          </w:tcPr>
          <w:p>
            <w:pPr>
              <w:jc w:val="center"/>
              <w:ind w:right="119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6"/>
              </w:rPr>
              <w:t>(Zip Code)</w:t>
            </w:r>
          </w:p>
        </w:tc>
      </w:tr>
    </w:tbl>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(408) 941-7100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 changes</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9" w:lineRule="exact"/>
        <w:rPr>
          <w:sz w:val="24"/>
          <w:szCs w:val="24"/>
          <w:color w:val="auto"/>
        </w:rPr>
      </w:pPr>
    </w:p>
    <w:p>
      <w:pPr>
        <w:ind w:right="420"/>
        <w:spacing w:after="0" w:line="222"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60" w:type="dxa"/>
            <w:vAlign w:val="bottom"/>
          </w:tcPr>
          <w:p>
            <w:pPr>
              <w:ind w:left="400"/>
              <w:spacing w:after="0"/>
              <w:rPr>
                <w:sz w:val="20"/>
                <w:szCs w:val="20"/>
                <w:color w:val="auto"/>
              </w:rPr>
            </w:pPr>
            <w:r>
              <w:rPr>
                <w:rFonts w:ascii="Arial" w:cs="Arial" w:eastAsia="Arial" w:hAnsi="Arial"/>
                <w:sz w:val="18"/>
                <w:szCs w:val="18"/>
                <w:color w:val="auto"/>
              </w:rPr>
              <w:t>o</w:t>
            </w:r>
          </w:p>
        </w:tc>
        <w:tc>
          <w:tcPr>
            <w:tcW w:w="506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60" w:type="dxa"/>
            <w:vAlign w:val="bottom"/>
          </w:tcPr>
          <w:p>
            <w:pPr>
              <w:ind w:left="400"/>
              <w:spacing w:after="0"/>
              <w:rPr>
                <w:sz w:val="20"/>
                <w:szCs w:val="20"/>
                <w:color w:val="auto"/>
              </w:rPr>
            </w:pPr>
            <w:r>
              <w:rPr>
                <w:rFonts w:ascii="Arial" w:cs="Arial" w:eastAsia="Arial" w:hAnsi="Arial"/>
                <w:sz w:val="18"/>
                <w:szCs w:val="18"/>
                <w:color w:val="auto"/>
              </w:rPr>
              <w:t>x</w:t>
            </w:r>
          </w:p>
        </w:tc>
        <w:tc>
          <w:tcPr>
            <w:tcW w:w="506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60" w:type="dxa"/>
            <w:vAlign w:val="bottom"/>
          </w:tcPr>
          <w:p>
            <w:pPr>
              <w:ind w:left="400"/>
              <w:spacing w:after="0"/>
              <w:rPr>
                <w:sz w:val="20"/>
                <w:szCs w:val="20"/>
                <w:color w:val="auto"/>
              </w:rPr>
            </w:pPr>
            <w:r>
              <w:rPr>
                <w:rFonts w:ascii="Arial" w:cs="Arial" w:eastAsia="Arial" w:hAnsi="Arial"/>
                <w:sz w:val="18"/>
                <w:szCs w:val="18"/>
                <w:color w:val="auto"/>
              </w:rPr>
              <w:t>o</w:t>
            </w:r>
          </w:p>
        </w:tc>
        <w:tc>
          <w:tcPr>
            <w:tcW w:w="506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12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74" w:lineRule="exact"/>
        <w:rPr>
          <w:sz w:val="24"/>
          <w:szCs w:val="24"/>
          <w:color w:val="auto"/>
        </w:rPr>
      </w:pPr>
    </w:p>
    <w:p>
      <w:pPr>
        <w:ind w:right="1940"/>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The number of shares outstanding of the registrant’s Common Stock as of January 31, 2019 was 5,380,128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093"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December 28, 2018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w:t>
              </w:r>
            </w:hyperlink>
          </w:p>
        </w:tc>
        <w:tc>
          <w:tcPr>
            <w:tcW w:w="5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(Unaudited)</w:t>
              </w:r>
            </w:hyperlink>
          </w:p>
        </w:tc>
        <w:tc>
          <w:tcPr>
            <w:tcW w:w="5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Income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 (Unaudited)</w:t>
              </w:r>
            </w:hyperlink>
          </w:p>
        </w:tc>
        <w:tc>
          <w:tcPr>
            <w:tcW w:w="5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24">
              <w:r>
                <w:rPr>
                  <w:rFonts w:ascii="Arial" w:cs="Arial" w:eastAsia="Arial" w:hAnsi="Arial"/>
                  <w:sz w:val="18"/>
                  <w:szCs w:val="18"/>
                  <w:color w:val="auto"/>
                </w:rPr>
                <w:t>Item 2. Management’s Discussion and Analysis of Financial Condition and Results of Operations</w:t>
              </w:r>
            </w:hyperlink>
          </w:p>
        </w:tc>
        <w:tc>
          <w:tcPr>
            <w:tcW w:w="54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Item 3. Quantitative and Qualitative Disclosures About Market Risk</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4. Controls and Procedures</w:t>
              </w:r>
            </w:hyperlink>
          </w:p>
        </w:tc>
        <w:tc>
          <w:tcPr>
            <w:tcW w:w="5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Part II. Other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1. Legal Proceedings</w:t>
              </w:r>
            </w:hyperlink>
          </w:p>
        </w:tc>
        <w:tc>
          <w:tcPr>
            <w:tcW w:w="5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1A. Risk Factors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2. Unregistered Sales of Equity Securities and Use of Proceeds</w:t>
              </w:r>
            </w:hyperlink>
          </w:p>
        </w:tc>
        <w:tc>
          <w:tcPr>
            <w:tcW w:w="5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3. Defaults upon Senior Securities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4. Mine Safety Disclosures</w:t>
              </w:r>
            </w:hyperlink>
          </w:p>
        </w:tc>
        <w:tc>
          <w:tcPr>
            <w:tcW w:w="5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3">
              <w:r>
                <w:rPr>
                  <w:rFonts w:ascii="Arial" w:cs="Arial" w:eastAsia="Arial" w:hAnsi="Arial"/>
                  <w:sz w:val="18"/>
                  <w:szCs w:val="18"/>
                  <w:color w:val="auto"/>
                </w:rPr>
                <w:t>Item 5. Other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4">
              <w:r>
                <w:rPr>
                  <w:rFonts w:ascii="Arial" w:cs="Arial" w:eastAsia="Arial" w:hAnsi="Arial"/>
                  <w:sz w:val="18"/>
                  <w:szCs w:val="18"/>
                  <w:color w:val="auto"/>
                </w:rPr>
                <w:t>Item 6. Exhibits</w:t>
              </w:r>
            </w:hyperlink>
          </w:p>
        </w:tc>
        <w:tc>
          <w:tcPr>
            <w:tcW w:w="5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Signatures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459"/>
        </w:trPr>
        <w:tc>
          <w:tcPr>
            <w:tcW w:w="10460" w:type="dxa"/>
            <w:vAlign w:val="bottom"/>
          </w:tcPr>
          <w:p>
            <w:pPr>
              <w:ind w:left="54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r>
    </w:tbl>
    <w:p>
      <w:pPr>
        <w:sectPr>
          <w:pgSz w:w="11900" w:h="16838" w:orient="portrait"/>
          <w:cols w:equalWidth="0" w:num="1">
            <w:col w:w="11000"/>
          </w:cols>
          <w:pgMar w:left="460" w:top="580" w:right="4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360" w:type="dxa"/>
            <w:vAlign w:val="bottom"/>
          </w:tcPr>
          <w:p>
            <w:pPr>
              <w:jc w:val="center"/>
              <w:ind w:left="155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jc w:val="center"/>
              <w:ind w:right="5490"/>
              <w:spacing w:after="0"/>
              <w:rPr>
                <w:sz w:val="20"/>
                <w:szCs w:val="20"/>
                <w:color w:val="auto"/>
              </w:rPr>
            </w:pPr>
            <w:r>
              <w:rPr>
                <w:rFonts w:ascii="Arial" w:cs="Arial" w:eastAsia="Arial" w:hAnsi="Arial"/>
                <w:sz w:val="18"/>
                <w:szCs w:val="18"/>
                <w:b w:val="1"/>
                <w:bCs w:val="1"/>
                <w:color w:val="auto"/>
                <w:w w:val="89"/>
              </w:rPr>
              <w:t>Financial Statements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360" w:type="dxa"/>
            <w:vAlign w:val="bottom"/>
          </w:tcPr>
          <w:p>
            <w:pPr>
              <w:jc w:val="center"/>
              <w:ind w:left="1550"/>
              <w:spacing w:after="0"/>
              <w:rPr>
                <w:sz w:val="20"/>
                <w:szCs w:val="20"/>
                <w:color w:val="auto"/>
              </w:rPr>
            </w:pPr>
            <w:r>
              <w:rPr>
                <w:rFonts w:ascii="Arial" w:cs="Arial" w:eastAsia="Arial" w:hAnsi="Arial"/>
                <w:sz w:val="18"/>
                <w:szCs w:val="18"/>
                <w:b w:val="1"/>
                <w:bCs w:val="1"/>
                <w:color w:val="auto"/>
              </w:rPr>
              <w:t>AVIAT NETWORKS, INC.</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36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736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7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43,068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32,336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7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Customer service inventories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37"/>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127,084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123,466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73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161,184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156,061</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34,777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30,878</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Advance payments and unearned revenue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15,846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19,300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7"/>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83,853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86,468</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98,545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 xml:space="preserve">Preferred stock, </w:t>
            </w:r>
            <w:r>
              <w:rPr>
                <w:rFonts w:ascii="Arial" w:cs="Arial" w:eastAsia="Arial" w:hAnsi="Arial"/>
                <w:sz w:val="16"/>
                <w:szCs w:val="16"/>
                <w:color w:val="auto"/>
              </w:rPr>
              <w:t>$0.01 par value, 50,000,000 shares authorized, none issued</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 xml:space="preserve">Common stock, </w:t>
            </w:r>
            <w:r>
              <w:rPr>
                <w:rFonts w:ascii="Arial" w:cs="Arial" w:eastAsia="Arial" w:hAnsi="Arial"/>
                <w:sz w:val="16"/>
                <w:szCs w:val="16"/>
                <w:color w:val="auto"/>
                <w:w w:val="92"/>
              </w:rPr>
              <w:t>$0.01 par value, 300,000,000 shares authorized, 5,399,357 shares issued and outstanding at December 28,</w:t>
            </w:r>
          </w:p>
        </w:tc>
        <w:tc>
          <w:tcPr>
            <w:tcW w:w="180" w:type="dxa"/>
            <w:vAlign w:val="bottom"/>
            <w:shd w:val="clear" w:color="auto" w:fill="CCEEFF"/>
          </w:tcPr>
          <w:p>
            <w:pPr>
              <w:spacing w:after="0"/>
              <w:rPr>
                <w:sz w:val="20"/>
                <w:szCs w:val="20"/>
                <w:color w:val="auto"/>
              </w:rPr>
            </w:pP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2018; 5,351,155 shares issued and outstanding at June 29, 2018,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815,392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816,426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(739,176)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(746,359)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57,516</w:t>
            </w:r>
          </w:p>
        </w:tc>
        <w:tc>
          <w:tcPr>
            <w:tcW w:w="0" w:type="dxa"/>
            <w:vAlign w:val="bottom"/>
          </w:tcPr>
          <w:p>
            <w:pPr>
              <w:spacing w:after="0"/>
              <w:rPr>
                <w:sz w:val="1"/>
                <w:szCs w:val="1"/>
                <w:color w:val="auto"/>
              </w:rPr>
            </w:pPr>
          </w:p>
        </w:tc>
      </w:tr>
      <w:tr>
        <w:trPr>
          <w:trHeight w:val="257"/>
        </w:trPr>
        <w:tc>
          <w:tcPr>
            <w:tcW w:w="8580" w:type="dxa"/>
            <w:vAlign w:val="bottom"/>
            <w:gridSpan w:val="2"/>
          </w:tcPr>
          <w:p>
            <w:pPr>
              <w:jc w:val="center"/>
              <w:ind w:right="427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161,184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156,061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41,956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37,719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81,081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72,786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45,119</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65,088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61,723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125,592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117,905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26,159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23,784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52,958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47,447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31,272</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42,598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39,833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85,177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78,719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39,186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27,826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37,518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net of tax</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Aviat Networks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 of common stock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Weighted-average shares outstanding:</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5,627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cumulative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w:t>
            </w:r>
            <w:r>
              <w:rPr>
                <w:rFonts w:ascii="Arial" w:cs="Arial" w:eastAsia="Arial" w:hAnsi="Arial"/>
                <w:sz w:val="18"/>
                <w:szCs w:val="18"/>
                <w:color w:val="auto"/>
              </w:rPr>
              <w:t>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7"/>
              </w:rPr>
              <w:t>Less: Comprehensive income attributable to noncontrolling interest, net of tax</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Aviat Networks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28,</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(Recovery from) provision for uncollectible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Customer service inventories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taxes payable or receivable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cash (used in) provided by operating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acquisition of property, plant and equipment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Repayments of borrowings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repurchase of Company stock</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taxes related to net settlement of equity awards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36,569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31,826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Due to the volume of our international sales, especially in developing countries, we may be susceptible to a number of political, economic and geographic risks that could harm our business as outlined in “Item 1A. Risk Factors” in our Annual Report on Form 10-K for the fiscal year ended June 29, 2018.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six months ended December 28, 2018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29, 2018.</w:t>
      </w:r>
    </w:p>
    <w:p>
      <w:pPr>
        <w:spacing w:after="0" w:line="14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wholly-owned and majority-owned subsidiaries. All intercompany transactions and accounts have been eliminated.</w:t>
      </w:r>
    </w:p>
    <w:p>
      <w:pPr>
        <w:spacing w:after="0" w:line="11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operate on a 52-week or 53-week year ending on the Friday closest to June 30. The first two quarters of fiscal 2019 and fiscal 2018 included 13 weeks in each quarter. Fiscal year 2019 will be comprised of 52 weeks and will end on June 28,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There have been no material changes in our significant accounting policies as of and for the six months ended December 28, 2018, as compared to the significant accounting policies described in our Annual Report on Form 10-K for the fiscal year ended June 29, 2018, with the exception of our revenue recognition policy. Effective June 30, 2018, we adopted Accounting Standards Update (ASU) No. 2014-09 (Accounting Standards Codification 606 or ASC 606), Revenue from Contracts with Customers, as amended. See Note 3, “Revenue Recognition” to the Notes to unaudited Condensed Consolidated Financial Statements for discussion of the impact of the adoption of this standard on our policies for revenue.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Comparability</w:t>
      </w:r>
    </w:p>
    <w:p>
      <w:pPr>
        <w:spacing w:after="0" w:line="3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adopted ASC 606, effective June 30, 2018, using the modified retrospective method. Prior-period financial statements were not retrospectively restated. The Consolidated Balance Sheet as of June 29, 2018 and results of operations for the three and six months ended December 29, 2017 were prepared using accounting standards that were different than those in effect for the three and six months ended December 28, 2018. As a result, the balance sheets as of December 28, 2018 and June 29, 2018 are not directly comparable, nor are the results of operations for the three and six months ended December 28, 2018 and December 29,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May 2014, the Financial Accounting Standards Board (FASB) issued ASC 606 which supersedes nearly all current U.S. GAAP guidance on this topic and eliminates industry-specific guidance. Revenue recognition under ASC 606 depicts the transfer of promised goods or services to customers in an amount that reflects the consideration to which the entity expects to be entitled in exchange for those goods or services. Additional disclosures are required to enable users to understand the nature, amount, timing and uncertainty of revenue and cash flows arising from contracts with customers. In addition, the FASB amended its guidance related to the capitalization and amortization of the incremental costs of obtaining a contract with a customer. The new revenue standard may be applied retrospectively to each prior period presented or retrospectively with the cumulative effect recognized in retained earnings as of the date of adoption. We adopted ASC 606 using the modified retrospective method as of June 30, 2018 with the cumulative effect recognized as an adjustment to the opening balance of our accumulated deficit (net of tax). Prior periods have not been retroactively adjusted and will continue to be reported under the accounting standards in effect for those periods. See Note 3, “Revenue Recognition” to the Notes to unaudited Condensed Consolidated Financial Statements for more information.</w:t>
      </w:r>
    </w:p>
    <w:p>
      <w:pPr>
        <w:spacing w:after="0" w:line="12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This guidance retains the current accounting for classifying and measuring investments in debt securities and loans but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adopted this update during the first quarter of fiscal 2019. The adoption had no material impact on our unaudited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subsequent amendments to the initial guidance: ASU 2018-10, </w:t>
      </w:r>
      <w:r>
        <w:rPr>
          <w:rFonts w:ascii="Arial" w:cs="Arial" w:eastAsia="Arial" w:hAnsi="Arial"/>
          <w:sz w:val="16"/>
          <w:szCs w:val="16"/>
          <w:i w:val="1"/>
          <w:iCs w:val="1"/>
          <w:color w:val="auto"/>
        </w:rPr>
        <w:t>Codification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to Topic 842, Leases, </w:t>
      </w:r>
      <w:r>
        <w:rPr>
          <w:rFonts w:ascii="Arial" w:cs="Arial" w:eastAsia="Arial" w:hAnsi="Arial"/>
          <w:sz w:val="16"/>
          <w:szCs w:val="16"/>
          <w:color w:val="auto"/>
        </w:rPr>
        <w:t>and ASU 2018-11,</w:t>
      </w:r>
      <w:r>
        <w:rPr>
          <w:rFonts w:ascii="Arial" w:cs="Arial" w:eastAsia="Arial" w:hAnsi="Arial"/>
          <w:sz w:val="16"/>
          <w:szCs w:val="16"/>
          <w:i w:val="1"/>
          <w:iCs w:val="1"/>
          <w:color w:val="auto"/>
        </w:rPr>
        <w:t xml:space="preserve"> Leases (Topic 842) Targeted Improvements</w:t>
      </w:r>
      <w:r>
        <w:rPr>
          <w:rFonts w:ascii="Arial" w:cs="Arial" w:eastAsia="Arial" w:hAnsi="Arial"/>
          <w:sz w:val="16"/>
          <w:szCs w:val="16"/>
          <w:color w:val="auto"/>
        </w:rPr>
        <w:t>, each issued in July 2018 (collectively, Topic 842), all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guidance on the recognition, measurement, presentation, and disclosure of leases. Topic 842 requires the recognition of lease assets and lease liabilities by lessees for those leases classified as operating leases under previous guidance. This standard will become effective for fiscal years beginning after December 15, 2018 including interim periods within those years, with early adoption permitted. The recognition, measurement, and presentation of expenses and cash flows arising from a lease by a lessee have not significantly changed from previous guidance. Although we are currently evaluating the impact the pronouncement will have on our unaudited Condensed Consolidated Financial Statements and related disclosures, we expect that most of our operating lease commitments will be subject to the new standard and recognized as operating lease liabilities and right-of-use assets upon adoption.</w:t>
      </w:r>
    </w:p>
    <w:p>
      <w:pPr>
        <w:spacing w:after="0" w:line="1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Improvement to Nonemployees Share-Based Payment Accounting</w:t>
      </w:r>
      <w:r>
        <w:rPr>
          <w:rFonts w:ascii="Arial" w:cs="Arial" w:eastAsia="Arial" w:hAnsi="Arial"/>
          <w:sz w:val="18"/>
          <w:szCs w:val="18"/>
          <w:color w:val="auto"/>
        </w:rPr>
        <w:t xml:space="preserve"> (ASU 2018-07), which expands the scope of Topic 718 to include all share-based payment transactions for acquiring goods and services from 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ASU 2018-07 will be effective for fiscal years beginning after December 15, 2018, including interim periods within those years, with early adoption permitted. We do not expect the adoption of this guidance will have a material impact on our unaudited Condensed Consolidated Financial Statements.</w:t>
      </w:r>
    </w:p>
    <w:p>
      <w:pPr>
        <w:spacing w:after="0" w:line="13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In August 2018, the SEC adopted the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In addition,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7"/>
          <w:szCs w:val="17"/>
          <w:color w:val="auto"/>
        </w:rPr>
        <w:t>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Our first presentation of changes in stockholders’ equity will be included in our Form 10-Q for the quarter ending March 29, 2019.</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This guidance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This standard will become effective for interim and annual periods beginning after December 15, 2019, with early adoption permitted. The standard can be adopted either using the prospective or retrospective transition approach. We are evaluating the effect the adoption of the standard will have on our unaudited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 of Common Stock</w:t>
      </w:r>
    </w:p>
    <w:p>
      <w:pPr>
        <w:spacing w:after="0" w:line="17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Net income per share is computed using the two-class method, by dividing net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was immaterial.</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per share attributable to our common stockholders: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 attributable to Aviat Networks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5,071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4,414</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 basic</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Effect of potentially dilutive equivalent shares</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 diluted</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 of common stock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weighted-average equity awards that were excluded from the diluted net income per share calculations since they were anti-dilutive: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28,</w:t>
            </w: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29,</w:t>
            </w: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28,</w:t>
            </w:r>
          </w:p>
        </w:tc>
        <w:tc>
          <w:tcPr>
            <w:tcW w:w="124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6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Restricted stock units and performance stock units</w:t>
            </w:r>
          </w:p>
        </w:tc>
        <w:tc>
          <w:tcPr>
            <w:tcW w:w="2660" w:type="dxa"/>
            <w:vAlign w:val="bottom"/>
            <w:gridSpan w:val="2"/>
          </w:tcPr>
          <w:p>
            <w:pPr>
              <w:jc w:val="right"/>
              <w:ind w:right="48"/>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shares of common stock excluded</w:t>
            </w:r>
          </w:p>
        </w:tc>
        <w:tc>
          <w:tcPr>
            <w:tcW w:w="2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Arial" w:cs="Arial" w:eastAsia="Arial" w:hAnsi="Arial"/>
                <w:sz w:val="18"/>
                <w:szCs w:val="18"/>
                <w:color w:val="auto"/>
              </w:rPr>
              <w:t>9</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Revenue Recognition</w:t>
      </w:r>
    </w:p>
    <w:p>
      <w:pPr>
        <w:spacing w:after="0" w:line="175" w:lineRule="exact"/>
        <w:rPr>
          <w:sz w:val="20"/>
          <w:szCs w:val="20"/>
          <w:color w:val="auto"/>
        </w:rPr>
      </w:pPr>
    </w:p>
    <w:p>
      <w:pPr>
        <w:jc w:val="both"/>
        <w:ind w:firstLine="486"/>
        <w:spacing w:after="0" w:line="221" w:lineRule="exact"/>
        <w:rPr>
          <w:sz w:val="20"/>
          <w:szCs w:val="20"/>
          <w:color w:val="auto"/>
        </w:rPr>
      </w:pPr>
      <w:r>
        <w:rPr>
          <w:rFonts w:ascii="Arial" w:cs="Arial" w:eastAsia="Arial" w:hAnsi="Arial"/>
          <w:sz w:val="18"/>
          <w:szCs w:val="18"/>
          <w:color w:val="auto"/>
        </w:rPr>
        <w:t>Effective June 30, 2018, we adopted ASC 606, using the modified retrospective method applied to those contracts that were not completed as of June 29, 2018. Results for the reporting periods after June 29, 2018 are presented under ASC 606, while prior</w:t>
      </w:r>
      <w:r>
        <w:rPr>
          <w:rFonts w:ascii="MS PGothic" w:cs="MS PGothic" w:eastAsia="MS PGothic" w:hAnsi="MS PGothic"/>
          <w:sz w:val="18"/>
          <w:szCs w:val="18"/>
          <w:color w:val="auto"/>
        </w:rPr>
        <w:t>‑</w:t>
      </w:r>
      <w:r>
        <w:rPr>
          <w:rFonts w:ascii="Arial" w:cs="Arial" w:eastAsia="Arial" w:hAnsi="Arial"/>
          <w:sz w:val="18"/>
          <w:szCs w:val="18"/>
          <w:color w:val="auto"/>
        </w:rPr>
        <w:t>period amounts are not adjusted and continue to be reported in accordance with our historical accounting under ASC 605.</w:t>
      </w:r>
    </w:p>
    <w:p>
      <w:pPr>
        <w:spacing w:after="0" w:line="14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 from product sales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Revenue from services includes certain installation, extended warranty, customer support, consulting, training and education. It also can include certain revenue generated from the resale of installation materials purchased on behalf of customers for installation service contracts we perform for customers. Maintenance and support services are generally offered to our customers over a specified period of time and from sales and subsequent renewals of maintenance and support contracts.</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Contracts and customer purchase orders are used to determine the existence of an arrangement. 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We assess our ability to collect from our customers based primarily on the creditworthiness and past payment history of the customer.</w:t>
      </w:r>
    </w:p>
    <w:p>
      <w:pPr>
        <w:spacing w:after="0" w:line="13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 authorities on a net basis.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ASC 606 Adoption</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recorded a net reduction to the opening balance of our accumulated deficit of $5.6 million as of June 30, 2018 due to the cumulative impact of adopting ASC 606, with the impact primarily related to our bill-and-hold and services revenue. Our revenue was $65.1 million and $125.6 million for the three and six months ended December 28, 2018, respectively, under ASC 606, compared to $63.0 million and $112.9 million, respectively, under ASC 605. The details of the significant changes and quantitative impact of our adoption of ASC 606 are set out below:</w:t>
      </w:r>
    </w:p>
    <w:p>
      <w:pPr>
        <w:spacing w:after="0" w:line="334" w:lineRule="exact"/>
        <w:rPr>
          <w:sz w:val="20"/>
          <w:szCs w:val="20"/>
          <w:color w:val="auto"/>
        </w:rPr>
      </w:pPr>
    </w:p>
    <w:p>
      <w:pPr>
        <w:jc w:val="both"/>
        <w:ind w:left="660" w:hanging="328"/>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Bill-and-Hold Sales: Certain customer arrangements consist of bill-and-hold characteristics under which transfer of control has been met (including the passing of title and significant risk and reward of ownership to the customers). Therefore, the customers can direct the use of the bill-and-hold inventory while we retain physical possession of the product until it is installed at a customer site at a point in time in the future. The change under ASC 606 requires consideration of the indicators of when control has been transferred and sets forth additional criteria to be met in a bill-and-hold arrangement potentially resulting in revenue being recognized earlier than under ASC 605. Upon adoption of ASC 606, we recorded a cumulative effect adjustment to June 30, 2018 opening accumulated deficit consisting of bill-and-hold backlog of $10.5 million that will not be recognized as revenue, less related cost of product sales and income taxes, resulting in a net decrease to accumulated deficit of $1.7 million.</w:t>
      </w:r>
    </w:p>
    <w:p>
      <w:pPr>
        <w:spacing w:after="0" w:line="167"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Services Revenue: We historically recognized certain professional services revenue upon completion under ASC 605 which changed to over time revenue recognition under ASC 606. We use the input method based on costs incurred, where revenue is calculated based on the percentage of total costs incurred in relation to total estimated costs at completion of the contract. The input method is reasonable because the costs incurred best reflect our efforts toward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both"/>
        <w:ind w:left="660"/>
        <w:spacing w:after="0" w:line="336" w:lineRule="auto"/>
        <w:rPr>
          <w:sz w:val="20"/>
          <w:szCs w:val="20"/>
          <w:color w:val="auto"/>
        </w:rPr>
      </w:pPr>
      <w:r>
        <w:rPr>
          <w:rFonts w:ascii="Arial" w:cs="Arial" w:eastAsia="Arial" w:hAnsi="Arial"/>
          <w:sz w:val="17"/>
          <w:szCs w:val="17"/>
          <w:color w:val="auto"/>
        </w:rPr>
        <w:t>satisfying the performance obligation over time. The use of the input method requires us to make reasonably dependable estimates. Upon adoption of ASC 606, we recorded a cumulative effect adjustment to June 30, 2018 opening accumulated deficit of $4.7 million that will not be recognized as revenue, less related cost of services and income taxes resulting in a net decrease to accumulated deficit of $1.6 million.</w:t>
      </w:r>
    </w:p>
    <w:p>
      <w:pPr>
        <w:spacing w:after="0" w:line="138" w:lineRule="exact"/>
        <w:rPr>
          <w:sz w:val="20"/>
          <w:szCs w:val="20"/>
          <w:color w:val="auto"/>
        </w:rPr>
      </w:pPr>
    </w:p>
    <w:p>
      <w:pPr>
        <w:jc w:val="both"/>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 of Control: Certain of our contracts include penalties, acceptance provisions or other price variability that precluded revenue recognition under ASC 605 because of the requirement for amounts to be fixed or determinable. ASC 606 requires us to estimate and account for variable consideration as a reduction of the transaction price. Upon adoption of ASC 606, we recorded a cumulative effect adjustment to June 30, 2018 opening accumulated deficit of $0.6 million that will not be recognized as revenue, less related cost of revenues and income taxes resulting in a net decrease to accumulated deficit of $0.4 million.</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revenue allocation under ASC 606 requires an allocation of revenue between deliverables, or performance obligations, within an arrangement. Under ASC 605, the allocation of revenue was restricted to the amount which was not contingent on future deliverables; however, ASC 606 removes this restriction. Upon adoption of ASC 606, we recorded a cumulative effect adjustment to decrease June 30, 2018 opening accumulated deficit by $0.5 million.</w:t>
      </w:r>
    </w:p>
    <w:p>
      <w:pPr>
        <w:spacing w:after="0" w:line="13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Under ASC 605, we deferred revenue for stand-alone software licenses where vendor-specific objective evidence (VSOE) of fair value had not been established for undelivered items, and revenue was recognized straight line over the term of the maintenance agreement. Under ASC 606, software revenue is allocated to delivered and undelivered elements based on relative fair value resulting in more software arrangement revenue being recognized earlier. Upon adoption of ASC 606, we recorded a cumulative effect adjustment to decrease June 30, 2018 opening accumulated deficit by $0.7 million.</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Previously, we expensed the majority of our commission expense as incurred. Under the new standard, we capitalize and amortize incremental commission costs to obtain the contract over a benefit period. We elected a practical expedient to exclude contracts with a benefit period of a year or less from this deferral requirement. Upon adoption of ASC 606, we recorded a cumulative effect adjustment to decrease June 30, 2018 opening accumulated deficit by $0.7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Variable consideration estimates will be re-assessed at each reporting period until a final outcome is determined. The changes to the original transaction price due to a change in estimated variable consideration will be applied on a retrospective basis, with the adjustment recorded in the period in which the change occurs. Changes to variable consideration will be tracked and material changes disclosed.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Stand-alone Selling Price</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1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When allocating on a relative stand-alone selling price basis, any discount provided in the contract is allocated proportionately to all of the performance obligations in the contract.</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7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unaudited Condensed Consolidated Statements of Operations because they are also included in revenue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assessed the treatment of costs to obtain or fulfill a contract with a customer. Sales commissions have historically been expensed as incurred. Under ASC 606,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w:t>
      </w:r>
    </w:p>
    <w:p>
      <w:pPr>
        <w:spacing w:after="0" w:line="133"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We elected ASC 606’s practical expedient to expense sales commissions as incurred when the amortization period of the related asset is one year or less. These costs are recorded as sales and marketing expense and included on the unaudited Condensed Consolidated Balance Sheet as accrued expenses until paid.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receivables and liabilities from contracts with customers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28, 2018</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At Adoption on June</w:t>
            </w:r>
          </w:p>
        </w:tc>
        <w:tc>
          <w:tcPr>
            <w:tcW w:w="0" w:type="dxa"/>
            <w:vAlign w:val="bottom"/>
          </w:tcPr>
          <w:p>
            <w:pPr>
              <w:spacing w:after="0"/>
              <w:rPr>
                <w:sz w:val="1"/>
                <w:szCs w:val="1"/>
                <w:color w:val="auto"/>
              </w:rPr>
            </w:pPr>
          </w:p>
        </w:tc>
      </w:tr>
      <w:tr>
        <w:trPr>
          <w:trHeight w:val="192"/>
        </w:trPr>
        <w:tc>
          <w:tcPr>
            <w:tcW w:w="87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53"/>
              <w:spacing w:after="0"/>
              <w:rPr>
                <w:sz w:val="20"/>
                <w:szCs w:val="20"/>
                <w:color w:val="auto"/>
              </w:rPr>
            </w:pPr>
            <w:r>
              <w:rPr>
                <w:rFonts w:ascii="Arial" w:cs="Arial" w:eastAsia="Arial" w:hAnsi="Arial"/>
                <w:sz w:val="14"/>
                <w:szCs w:val="14"/>
                <w:b w:val="1"/>
                <w:bCs w:val="1"/>
                <w:color w:val="auto"/>
              </w:rPr>
              <w:t>30, 2018</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Contract Assets</w:t>
            </w: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45,571</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32,336</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commissions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revenue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Unearned revenue, long-term</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7,721</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28, 2018, we had $23.6 million in advance payments and unearned revenue and long-term unearned revenue, of which approximately 40% is expected to be recognized as revenue in the next six months of fiscal year 2019 and the remainder thereafter. During the three and six months ended December 28, 2018, we recognized approximately $2.4 million and $5.4 million, respectively, in maintenance service revenue, which was included in unearned revenue at June 29, 2018.</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Impacts on Financial Statements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tables summarize the impacts of adopting ASC 606 on the unaudited Condensed Consolidated Statements of Operations for the three and six months ended December 28, 2018 and our Consolidated Balance Sheet as of June 29, 2018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3"/>
              </w:rPr>
              <w:t>Three Months Ended December 28, 2018</w:t>
            </w: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3"/>
                <w:szCs w:val="13"/>
                <w:color w:val="auto"/>
              </w:rPr>
            </w:pPr>
          </w:p>
        </w:tc>
        <w:tc>
          <w:tcPr>
            <w:tcW w:w="122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Adoption of ASC 606</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40,382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62,995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16,439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41,497</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14,343</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615"/>
        </w:trPr>
        <w:tc>
          <w:tcPr>
            <w:tcW w:w="7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3"/>
              </w:rPr>
              <w:t>Six Months Ended December 28, 2018</w:t>
            </w: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3"/>
                <w:szCs w:val="13"/>
                <w:color w:val="auto"/>
              </w:rPr>
            </w:pPr>
          </w:p>
        </w:tc>
        <w:tc>
          <w:tcPr>
            <w:tcW w:w="122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Adoption of ASC 606</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81,081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70,562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44,511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42,368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112,930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47,230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32,219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30,689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77,919</w:t>
            </w: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27,962</w:t>
            </w: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See Note 9, “Segment and Geographic Information” to the Notes to unaudited Condensed Consolidated Financial Statements for discussion on the impact of additional information, including disaggregated revenue disclosures.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Balances as of June</w:t>
            </w:r>
          </w:p>
        </w:tc>
        <w:tc>
          <w:tcPr>
            <w:tcW w:w="100" w:type="dxa"/>
            <w:vAlign w:val="bottom"/>
          </w:tcPr>
          <w:p>
            <w:pPr>
              <w:spacing w:after="0"/>
              <w:rPr>
                <w:sz w:val="14"/>
                <w:szCs w:val="14"/>
                <w:color w:val="auto"/>
              </w:rPr>
            </w:pPr>
          </w:p>
        </w:tc>
        <w:tc>
          <w:tcPr>
            <w:tcW w:w="14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Adjustments due to</w:t>
            </w:r>
          </w:p>
        </w:tc>
        <w:tc>
          <w:tcPr>
            <w:tcW w:w="140" w:type="dxa"/>
            <w:vAlign w:val="bottom"/>
          </w:tcPr>
          <w:p>
            <w:pPr>
              <w:spacing w:after="0"/>
              <w:rPr>
                <w:sz w:val="14"/>
                <w:szCs w:val="14"/>
                <w:color w:val="auto"/>
              </w:rPr>
            </w:pPr>
          </w:p>
        </w:tc>
        <w:tc>
          <w:tcPr>
            <w:tcW w:w="122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Balances at June 30,</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29, 2018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ASC 606</w:t>
            </w:r>
          </w:p>
        </w:tc>
        <w:tc>
          <w:tcPr>
            <w:tcW w:w="140" w:type="dxa"/>
            <w:vAlign w:val="bottom"/>
          </w:tcPr>
          <w:p>
            <w:pPr>
              <w:spacing w:after="0"/>
              <w:rPr>
                <w:sz w:val="16"/>
                <w:szCs w:val="16"/>
                <w:color w:val="auto"/>
              </w:rPr>
            </w:pPr>
          </w:p>
        </w:tc>
        <w:tc>
          <w:tcPr>
            <w:tcW w:w="12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26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43,068</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45,571</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28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14,167</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8,627</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21,290</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8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6,006</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5,600</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8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9,816</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revenue</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19,300</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Unearned revenue - long term</w:t>
            </w:r>
          </w:p>
        </w:tc>
        <w:tc>
          <w:tcPr>
            <w:tcW w:w="28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6,593</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(746,359)</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(740,736)</w:t>
            </w:r>
          </w:p>
        </w:tc>
        <w:tc>
          <w:tcPr>
            <w:tcW w:w="0" w:type="dxa"/>
            <w:vAlign w:val="bottom"/>
          </w:tcPr>
          <w:p>
            <w:pPr>
              <w:spacing w:after="0"/>
              <w:rPr>
                <w:sz w:val="1"/>
                <w:szCs w:val="1"/>
                <w:color w:val="auto"/>
              </w:rPr>
            </w:pPr>
          </w:p>
        </w:tc>
      </w:tr>
      <w:tr>
        <w:trPr>
          <w:trHeight w:val="418"/>
        </w:trPr>
        <w:tc>
          <w:tcPr>
            <w:tcW w:w="11420" w:type="dxa"/>
            <w:vAlign w:val="bottom"/>
            <w:gridSpan w:val="10"/>
          </w:tcPr>
          <w:p>
            <w:pPr>
              <w:ind w:left="500"/>
              <w:spacing w:after="0"/>
              <w:rPr>
                <w:sz w:val="20"/>
                <w:szCs w:val="20"/>
                <w:color w:val="auto"/>
              </w:rPr>
            </w:pPr>
            <w:r>
              <w:rPr>
                <w:rFonts w:ascii="Arial" w:cs="Arial" w:eastAsia="Arial" w:hAnsi="Arial"/>
                <w:sz w:val="18"/>
                <w:szCs w:val="18"/>
                <w:color w:val="auto"/>
                <w:w w:val="92"/>
              </w:rPr>
              <w:t>The effects of the adoption of the new revenue recognition guidance on our December 28, 2018 unaudited Condensed Consolidated Balance Sheet</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were as follows:</w:t>
            </w: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4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As of December 28, 2018</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1"/>
              </w:rPr>
              <w:t>As Reported</w:t>
            </w:r>
          </w:p>
        </w:tc>
        <w:tc>
          <w:tcPr>
            <w:tcW w:w="100" w:type="dxa"/>
            <w:vAlign w:val="bottom"/>
          </w:tcPr>
          <w:p>
            <w:pPr>
              <w:spacing w:after="0"/>
              <w:rPr>
                <w:sz w:val="13"/>
                <w:szCs w:val="13"/>
                <w:color w:val="auto"/>
              </w:rPr>
            </w:pP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Adjustments due to</w:t>
            </w:r>
          </w:p>
        </w:tc>
        <w:tc>
          <w:tcPr>
            <w:tcW w:w="140" w:type="dxa"/>
            <w:vAlign w:val="bottom"/>
          </w:tcPr>
          <w:p>
            <w:pPr>
              <w:spacing w:after="0"/>
              <w:rPr>
                <w:sz w:val="13"/>
                <w:szCs w:val="13"/>
                <w:color w:val="auto"/>
              </w:rPr>
            </w:pPr>
          </w:p>
        </w:tc>
        <w:tc>
          <w:tcPr>
            <w:tcW w:w="1220" w:type="dxa"/>
            <w:vAlign w:val="bottom"/>
          </w:tcPr>
          <w:p>
            <w:pPr>
              <w:jc w:val="center"/>
              <w:ind w:right="52"/>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ASC 606</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adoption of ASC 606</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26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48,624</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44,119</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28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32,336</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(15,177)</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17,159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8,593</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27,378</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8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4,873</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5,127</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8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11,957</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22,663</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22,583</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Advance payments and unearned revenue</w:t>
            </w:r>
          </w:p>
        </w:tc>
        <w:tc>
          <w:tcPr>
            <w:tcW w:w="28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15,846</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11,138</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26,984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 - long term</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7,721</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6,666</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Reserve for uncertain tax positions</w:t>
            </w:r>
          </w:p>
        </w:tc>
        <w:tc>
          <w:tcPr>
            <w:tcW w:w="28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3,403</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4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8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(739,176)</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(750,119)</w:t>
            </w:r>
          </w:p>
        </w:tc>
        <w:tc>
          <w:tcPr>
            <w:tcW w:w="0" w:type="dxa"/>
            <w:vAlign w:val="bottom"/>
          </w:tcPr>
          <w:p>
            <w:pPr>
              <w:spacing w:after="0"/>
              <w:rPr>
                <w:sz w:val="1"/>
                <w:szCs w:val="1"/>
                <w:color w:val="auto"/>
              </w:rPr>
            </w:pPr>
          </w:p>
        </w:tc>
      </w:tr>
      <w:tr>
        <w:trPr>
          <w:trHeight w:val="675"/>
        </w:trPr>
        <w:tc>
          <w:tcPr>
            <w:tcW w:w="4460" w:type="dxa"/>
            <w:vAlign w:val="bottom"/>
          </w:tcPr>
          <w:p>
            <w:pPr>
              <w:spacing w:after="0"/>
              <w:rPr>
                <w:sz w:val="24"/>
                <w:szCs w:val="24"/>
                <w:color w:val="auto"/>
              </w:rPr>
            </w:pPr>
          </w:p>
        </w:tc>
        <w:tc>
          <w:tcPr>
            <w:tcW w:w="2620" w:type="dxa"/>
            <w:vAlign w:val="bottom"/>
          </w:tcPr>
          <w:p>
            <w:pPr>
              <w:jc w:val="right"/>
              <w:ind w:right="119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2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a summary of our cash, cash equivalents and restricted cash reported within the Condensed Consolidated Balance Sheets that reconciles to the corresponding amount in the Condensed Consolidated Statement of Cash Flows: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28,</w:t>
            </w:r>
          </w:p>
        </w:tc>
        <w:tc>
          <w:tcPr>
            <w:tcW w:w="240" w:type="dxa"/>
            <w:vAlign w:val="bottom"/>
          </w:tcPr>
          <w:p>
            <w:pPr>
              <w:spacing w:after="0"/>
              <w:rPr>
                <w:sz w:val="14"/>
                <w:szCs w:val="14"/>
                <w:color w:val="auto"/>
              </w:rPr>
            </w:pPr>
          </w:p>
        </w:tc>
        <w:tc>
          <w:tcPr>
            <w:tcW w:w="102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57"/>
        </w:trPr>
        <w:tc>
          <w:tcPr>
            <w:tcW w:w="8800" w:type="dxa"/>
            <w:vAlign w:val="bottom"/>
          </w:tcPr>
          <w:p>
            <w:pPr>
              <w:ind w:left="280"/>
              <w:spacing w:after="0"/>
              <w:rPr>
                <w:sz w:val="20"/>
                <w:szCs w:val="20"/>
                <w:color w:val="auto"/>
              </w:rPr>
            </w:pPr>
            <w:r>
              <w:rPr>
                <w:rFonts w:ascii="Arial" w:cs="Arial" w:eastAsia="Arial" w:hAnsi="Arial"/>
                <w:sz w:val="18"/>
                <w:szCs w:val="18"/>
                <w:color w:val="auto"/>
              </w:rPr>
              <w:t>Total cash, cash equivalents, and restricted cash in the Statement of Cash Flows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31,826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37,764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0" w:type="dxa"/>
            <w:vAlign w:val="bottom"/>
          </w:tcPr>
          <w:p>
            <w:pPr>
              <w:ind w:left="500"/>
              <w:spacing w:after="0"/>
              <w:rPr>
                <w:sz w:val="20"/>
                <w:szCs w:val="20"/>
                <w:color w:val="auto"/>
              </w:rPr>
            </w:pPr>
            <w:r>
              <w:rPr>
                <w:rFonts w:ascii="Arial" w:cs="Arial" w:eastAsia="Arial" w:hAnsi="Arial"/>
                <w:sz w:val="18"/>
                <w:szCs w:val="18"/>
                <w:color w:val="auto"/>
              </w:rPr>
              <w:t>Our net accounts receivable are summarized below:</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28,</w:t>
            </w:r>
          </w:p>
        </w:tc>
        <w:tc>
          <w:tcPr>
            <w:tcW w:w="240" w:type="dxa"/>
            <w:vAlign w:val="bottom"/>
          </w:tcPr>
          <w:p>
            <w:pPr>
              <w:spacing w:after="0"/>
              <w:rPr>
                <w:sz w:val="24"/>
                <w:szCs w:val="24"/>
                <w:color w:val="auto"/>
              </w:rPr>
            </w:pPr>
          </w:p>
        </w:tc>
        <w:tc>
          <w:tcPr>
            <w:tcW w:w="102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44,656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48,624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43,068</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0" w:type="dxa"/>
            <w:vAlign w:val="bottom"/>
          </w:tcPr>
          <w:p>
            <w:pPr>
              <w:ind w:left="500"/>
              <w:spacing w:after="0"/>
              <w:rPr>
                <w:sz w:val="20"/>
                <w:szCs w:val="20"/>
                <w:color w:val="auto"/>
              </w:rPr>
            </w:pPr>
            <w:r>
              <w:rPr>
                <w:rFonts w:ascii="Arial" w:cs="Arial" w:eastAsia="Arial" w:hAnsi="Arial"/>
                <w:sz w:val="18"/>
                <w:szCs w:val="18"/>
                <w:color w:val="auto"/>
              </w:rPr>
              <w:t>Our inventories are summarized below:</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28,</w:t>
            </w:r>
          </w:p>
        </w:tc>
        <w:tc>
          <w:tcPr>
            <w:tcW w:w="240" w:type="dxa"/>
            <w:vAlign w:val="bottom"/>
          </w:tcPr>
          <w:p>
            <w:pPr>
              <w:spacing w:after="0"/>
              <w:rPr>
                <w:sz w:val="24"/>
                <w:szCs w:val="24"/>
                <w:color w:val="auto"/>
              </w:rPr>
            </w:pPr>
          </w:p>
        </w:tc>
        <w:tc>
          <w:tcPr>
            <w:tcW w:w="102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15,496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8,593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 and supplies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recovery or charges to adjust our inventory and customer service inventory due to excess and obsolete inventory resulting from lower sales forecast, product transitioning or discontinuance. During the three and six months ended December 28, 2018, we recorded a net recovery of $221,000 and $246,000, respectively, in each case related to previously reserved inventory due to sell through. Such recovery or charges during the three and six months ended December 28, 2018 and December 29, 2017 were classified in cost of product sales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(recovery) charges</w:t>
            </w:r>
          </w:p>
        </w:tc>
        <w:tc>
          <w:tcPr>
            <w:tcW w:w="1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inventory (recovery) charges</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property, plant and equipment, net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240" w:type="dxa"/>
            <w:vAlign w:val="bottom"/>
          </w:tcPr>
          <w:p>
            <w:pPr>
              <w:spacing w:after="0"/>
              <w:rPr>
                <w:sz w:val="14"/>
                <w:szCs w:val="14"/>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11,597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47,990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48,076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gross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75,881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(58,702)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28,</w:t>
            </w:r>
          </w:p>
        </w:tc>
        <w:tc>
          <w:tcPr>
            <w:tcW w:w="160" w:type="dxa"/>
            <w:vAlign w:val="bottom"/>
          </w:tcPr>
          <w:p>
            <w:pPr>
              <w:spacing w:after="0"/>
              <w:rPr>
                <w:sz w:val="13"/>
                <w:szCs w:val="13"/>
                <w:color w:val="auto"/>
              </w:rPr>
            </w:pPr>
          </w:p>
        </w:tc>
        <w:tc>
          <w:tcPr>
            <w:tcW w:w="110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378"/>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20" w:type="dxa"/>
            <w:vAlign w:val="bottom"/>
          </w:tcPr>
          <w:p>
            <w:pPr>
              <w:ind w:left="500"/>
              <w:spacing w:after="0"/>
              <w:rPr>
                <w:sz w:val="20"/>
                <w:szCs w:val="20"/>
                <w:color w:val="auto"/>
              </w:rPr>
            </w:pPr>
            <w:r>
              <w:rPr>
                <w:rFonts w:ascii="Arial" w:cs="Arial" w:eastAsia="Arial" w:hAnsi="Arial"/>
                <w:sz w:val="18"/>
                <w:szCs w:val="18"/>
                <w:color w:val="auto"/>
              </w:rPr>
              <w:t>Our accrued expenses are summarized below:</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28,</w:t>
            </w:r>
          </w:p>
        </w:tc>
        <w:tc>
          <w:tcPr>
            <w:tcW w:w="160" w:type="dxa"/>
            <w:vAlign w:val="bottom"/>
          </w:tcPr>
          <w:p>
            <w:pPr>
              <w:spacing w:after="0"/>
              <w:rPr>
                <w:sz w:val="24"/>
                <w:szCs w:val="24"/>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Accrued agent commissions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9,843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12,320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22,663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25,864</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is included as a component of accrued expenses in the unaudited Condensed Consolidated Balance Sheets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620" w:type="dxa"/>
            <w:vAlign w:val="bottom"/>
            <w:vMerge w:val="restart"/>
          </w:tcPr>
          <w:p>
            <w:pPr>
              <w:jc w:val="right"/>
              <w:ind w:right="3634"/>
              <w:spacing w:after="0"/>
              <w:rPr>
                <w:sz w:val="20"/>
                <w:szCs w:val="20"/>
                <w:color w:val="auto"/>
              </w:rPr>
            </w:pPr>
            <w:r>
              <w:rPr>
                <w:rFonts w:ascii="Arial" w:cs="Arial" w:eastAsia="Arial" w:hAnsi="Arial"/>
                <w:sz w:val="14"/>
                <w:szCs w:val="14"/>
                <w:b w:val="1"/>
                <w:bCs w:val="1"/>
                <w:color w:val="auto"/>
                <w:w w:val="91"/>
              </w:rPr>
              <w:t>(In thousands)</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jc w:val="right"/>
              <w:ind w:right="1534"/>
              <w:spacing w:after="0"/>
              <w:rPr>
                <w:sz w:val="20"/>
                <w:szCs w:val="20"/>
                <w:color w:val="auto"/>
              </w:rPr>
            </w:pPr>
            <w:r>
              <w:rPr>
                <w:rFonts w:ascii="Arial" w:cs="Arial" w:eastAsia="Arial" w:hAnsi="Arial"/>
                <w:sz w:val="18"/>
                <w:szCs w:val="18"/>
                <w:color w:val="auto"/>
                <w:w w:val="91"/>
              </w:rPr>
              <w:t>Balance as of the beginning of the period</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43"/>
        </w:trPr>
        <w:tc>
          <w:tcPr>
            <w:tcW w:w="4620" w:type="dxa"/>
            <w:vAlign w:val="bottom"/>
          </w:tcPr>
          <w:p>
            <w:pPr>
              <w:jc w:val="right"/>
              <w:ind w:right="914"/>
              <w:spacing w:after="0"/>
              <w:rPr>
                <w:sz w:val="20"/>
                <w:szCs w:val="20"/>
                <w:color w:val="auto"/>
              </w:rPr>
            </w:pPr>
            <w:r>
              <w:rPr>
                <w:rFonts w:ascii="Arial" w:cs="Arial" w:eastAsia="Arial" w:hAnsi="Arial"/>
                <w:sz w:val="18"/>
                <w:szCs w:val="18"/>
                <w:color w:val="auto"/>
                <w:w w:val="98"/>
              </w:rPr>
              <w:t>Warranty provision recorded during the period</w:t>
            </w: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jc w:val="right"/>
              <w:ind w:right="1994"/>
              <w:spacing w:after="0"/>
              <w:rPr>
                <w:sz w:val="20"/>
                <w:szCs w:val="20"/>
                <w:color w:val="auto"/>
              </w:rPr>
            </w:pPr>
            <w:r>
              <w:rPr>
                <w:rFonts w:ascii="Arial" w:cs="Arial" w:eastAsia="Arial" w:hAnsi="Arial"/>
                <w:sz w:val="18"/>
                <w:szCs w:val="18"/>
                <w:color w:val="auto"/>
              </w:rPr>
              <w:t>Consumption during the period</w:t>
            </w:r>
          </w:p>
        </w:tc>
        <w:tc>
          <w:tcPr>
            <w:tcW w:w="1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37"/>
        </w:trPr>
        <w:tc>
          <w:tcPr>
            <w:tcW w:w="4620" w:type="dxa"/>
            <w:vAlign w:val="bottom"/>
          </w:tcPr>
          <w:p>
            <w:pPr>
              <w:jc w:val="right"/>
              <w:ind w:right="1994"/>
              <w:spacing w:after="0"/>
              <w:rPr>
                <w:sz w:val="20"/>
                <w:szCs w:val="20"/>
                <w:color w:val="auto"/>
              </w:rPr>
            </w:pPr>
            <w:r>
              <w:rPr>
                <w:rFonts w:ascii="Arial" w:cs="Arial" w:eastAsia="Arial" w:hAnsi="Arial"/>
                <w:sz w:val="18"/>
                <w:szCs w:val="18"/>
                <w:color w:val="auto"/>
                <w:w w:val="90"/>
              </w:rPr>
              <w:t>Balance as of the end of the period</w:t>
            </w:r>
          </w:p>
        </w:tc>
        <w:tc>
          <w:tcPr>
            <w:tcW w:w="14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3,416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vMerge w:val="restart"/>
          </w:tcPr>
          <w:p>
            <w:pPr>
              <w:jc w:val="right"/>
              <w:ind w:right="17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Advance payments and Unearned Revenue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advance payments and unearned revenue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240" w:type="dxa"/>
            <w:vAlign w:val="bottom"/>
          </w:tcPr>
          <w:p>
            <w:pPr>
              <w:spacing w:after="0"/>
              <w:rPr>
                <w:sz w:val="14"/>
                <w:szCs w:val="14"/>
                <w:color w:val="auto"/>
              </w:rPr>
            </w:pPr>
          </w:p>
        </w:tc>
        <w:tc>
          <w:tcPr>
            <w:tcW w:w="102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Unearned revenue</w:t>
            </w: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13,680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advance payments and unearned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15,846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19,300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1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December 28, 2018 and June 29, 2018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December 28, 2018</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June 29, 2018</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4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2"/>
                <w:szCs w:val="22"/>
                <w:color w:val="auto"/>
              </w:rPr>
            </w:pP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 Inputs</w:t>
            </w: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r>
      <w:tr>
        <w:trPr>
          <w:trHeight w:val="243"/>
        </w:trPr>
        <w:tc>
          <w:tcPr>
            <w:tcW w:w="446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60"/>
              <w:spacing w:after="0"/>
              <w:rPr>
                <w:sz w:val="20"/>
                <w:szCs w:val="20"/>
                <w:color w:val="auto"/>
              </w:rPr>
            </w:pPr>
            <w:r>
              <w:rPr>
                <w:rFonts w:ascii="Arial" w:cs="Arial" w:eastAsia="Arial" w:hAnsi="Arial"/>
                <w:sz w:val="18"/>
                <w:szCs w:val="18"/>
                <w:color w:val="auto"/>
              </w:rPr>
              <w:t>Foreign exchange forward contracts</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forward contracts</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44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December 28, 2018 and June 29, 2018, these money market funds were valued at $1.00 net asset value per share.</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changes in fair value related to our foreign currency forward contracts were recorded in cost of revenues on our unaudited Condensed Consolidated Statements of Operations.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28, 2018 and June 29, 2018, we did not have any recurring assets or liabilities that were valued using significant unobservable inputs.</w:t>
      </w:r>
    </w:p>
    <w:p>
      <w:pPr>
        <w:spacing w:after="0" w:line="19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six months of fiscal 2019 and 2018, we had no transfers between levels of the fair value hierarchy of our assets or liabilities measured at fair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On June 29, 2018, we entered into a Third Amended and Restated Loan Agreement with Silicon Valley Bank (the SVB Credit Facility). The SVB Credit Facility expires on June 29, 2019. The SVB Credit Facility provides for a $30.0 million accounts receivable formula-based revolving credit facility that can be borrowed by our U.S. company, with a $30.0 million sublimit that can be borrowed by our Singapore subsidiary. Loans may be advanced under the SVB Credit Facility based on a borrowing base equal to a specified percentage of the value of eligible accounts of the borrowers under the SVB Credit Facility. The borrowing base is subject to certain eligibility criteria. Availability under the SVB Credit Facility can also be utilized to issue letters of credit with a $12.0 million sublimit. We may prepay loans under the SVB Credit Facility in whole or in part at any time without premium or penalty. As of December 28, 2018, available credit under the SVB Credit Facility was $15.7 million, reflecting the calculated borrowing base of $25.5 million less existing borrowings of $9.0 million and outstanding letters of credit of $0.8 million.</w:t>
      </w:r>
    </w:p>
    <w:p>
      <w:pPr>
        <w:spacing w:after="0" w:line="1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the first six months of fiscal 2019, the weighted-average interest rate on our outstanding loan was 5.89%. As of December 28, 2018 and June 29, 2018, our outstanding debt balance under the SVB Credit Facility was $9.0 million, and the interest rate was 6.00% and 5.50%, respectively.</w:t>
      </w:r>
    </w:p>
    <w:p>
      <w:pPr>
        <w:spacing w:after="0" w:line="139"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 above the applicable interest rate. As of December 28, 2018, we were in compliance with the quarterly financial covenants, as amended, contained in the SVB Credit Facility. The $9.0 million borrowing was classified as a current liability as of December 28, 2018 and June 28, 2019.</w:t>
      </w:r>
    </w:p>
    <w:p>
      <w:pPr>
        <w:spacing w:after="0" w:line="113"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On September 28, 2018, we entered into Amendment No. 1 (the Amendment) to the Third Amended and Restated Loan and Security Agreement with Silicon Valley Bank. Among other things, the Amendment provides for the definition of Quick Assets set forth in the Agreement to be modified to include up to the lesser of (a) 50% of unbilled accounts receivable or (b) $7.0 million.</w:t>
      </w:r>
    </w:p>
    <w:p>
      <w:pPr>
        <w:spacing w:after="0" w:line="127"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In addition, we have a short-term line of credit for up to $0.4 million from a bank in New Zealand to support the operations of our subsidiary located there. This line of credit provides for up to $0.3 million in short-term advances at various interest rates, all of which was available as of December 28, 2018 and June 29, 2018. The line of credit also provides for the issuance of standby letters of credit and company credit cards, of which $0.1 million was outstanding as of December 28, 2018. This line of credit may be terminated upon notice, is reviewed annually for renewal or modification, and is supported by a corporate guarantee.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restructuring-related activities during the first six months of fiscal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Severance and Benefits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Facilities and</w:t>
            </w:r>
          </w:p>
        </w:tc>
        <w:tc>
          <w:tcPr>
            <w:tcW w:w="200" w:type="dxa"/>
            <w:vAlign w:val="bottom"/>
          </w:tcPr>
          <w:p>
            <w:pPr>
              <w:spacing w:after="0"/>
              <w:rPr>
                <w:sz w:val="14"/>
                <w:szCs w:val="14"/>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2018-2019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2016-2017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2015-2016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5"/>
              </w:rPr>
              <w:t>2013-2014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2015-2016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June 29,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1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Foreign exchange impact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September 28, 2018</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2,101</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impact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Accrual balance, December 28,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1,859</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28, 2018, $1.6 million of the accrual balance was in short-term restructuring liabilities while $0.6 million was included in other long-term liabilities on the unaudited Condensed Consolidated Balance Sheets.</w:t>
      </w:r>
    </w:p>
    <w:p>
      <w:pPr>
        <w:spacing w:after="0" w:line="11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expect to substantially complete the restructuring activities under our fiscal 2018-2019 restructuring plan (Fiscal 2018-2019 Plan) by the end of fiscal 2019. Payments related to the accrued restructuring liability balance for this plan are expected to be fully paid by the end of fiscal 2020.</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further information, see “Note 7. Restructuring Activities” in Part II, Item 8 of our 2018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May 2018, our board of directors approved a repurchase program, which does not have an expiration date, for the repurchase of up to $7.5 million of our common stock.</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repurchases of our common stock: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600" w:type="dxa"/>
            <w:vAlign w:val="bottom"/>
          </w:tcPr>
          <w:p>
            <w:pPr>
              <w:jc w:val="right"/>
              <w:ind w:right="259"/>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amounts)</w:t>
            </w:r>
          </w:p>
        </w:tc>
        <w:tc>
          <w:tcPr>
            <w:tcW w:w="20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28, 2018</w:t>
            </w:r>
          </w:p>
        </w:tc>
        <w:tc>
          <w:tcPr>
            <w:tcW w:w="220" w:type="dxa"/>
            <w:vAlign w:val="bottom"/>
          </w:tcPr>
          <w:p>
            <w:pPr>
              <w:spacing w:after="0"/>
              <w:rPr>
                <w:sz w:val="24"/>
                <w:szCs w:val="24"/>
                <w:color w:val="auto"/>
              </w:rPr>
            </w:pPr>
          </w:p>
        </w:tc>
        <w:tc>
          <w:tcPr>
            <w:tcW w:w="160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28, 2018</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repurchased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68,006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91,585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Aggregate purchase price, including commissions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1,439</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repurchased shares were retired. As of December 28, 2018, $6.1 million remained available under our stock repurchase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of December 28, 2018, we had two stock incentive plans (both Plans) for our employees and nonemployee directors, the 2018 Incentive Plan and the 2007 Stock Equity Plan, as amended and restated effective November 13, 2015. The 2018 Incentive Plan was approved by the stockholders during the fiscal year 2017 Annual Stockholders’ Meeting and it added 500,000 shares to the equity pool of shares available to grant to employees. During the three months ended December 28, 2018, we issued 15,584 restricted stock units. During the three months ended September 28, 2018, we issued 78,236 performance restricted stock units and 156,466 options to purchase shares of our common stock.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6" w:right="239" w:bottom="1440" w:gutter="0" w:footer="0" w:header="0"/>
        </w:sectPr>
      </w:pPr>
    </w:p>
    <w:bookmarkStart w:id="19" w:name="page20"/>
    <w:bookmarkEnd w:id="19"/>
    <w:p>
      <w:pPr>
        <w:ind w:left="50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2"/>
        </w:trPr>
        <w:tc>
          <w:tcPr>
            <w:tcW w:w="60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Restricted and performance stock awards and units</w:t>
            </w: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28, 2018, there was approximately $1.3 million of total unrecognized compensation expense related to nonvested stock options granted under both Plans. This expense is expected to be recognized over a weighted-average period of 2.69 years. As of December 28, 2018, there was $1.4 million of total unrecognized compensation expense related to nonvested stock awards and units granted under both Plans. This expense is expected to be recognized over a weighted-average period of 1.08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and Geographic Information</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three and six months ended December 28, 2018 and December 29, 2017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29, 2017</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10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0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North America </w:t>
            </w:r>
            <w:r>
              <w:rPr>
                <w:rFonts w:ascii="Arial" w:cs="Arial" w:eastAsia="Arial" w:hAnsi="Arial"/>
                <w:sz w:val="25"/>
                <w:szCs w:val="25"/>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37,316</w:t>
            </w:r>
          </w:p>
        </w:tc>
        <w:tc>
          <w:tcPr>
            <w:tcW w:w="12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36,985</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65,079</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67,987</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Africa and the Middle East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13,832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12,682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27,979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26,144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Europe and Russia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6,945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Latin America and Asia Pacific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10,707</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8,242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25,589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15,514</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65,088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61,723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125,592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117,905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Prior-period amounts have not been adjusted under the modified retrospective method for the adoption of ASC 606.</w:t>
      </w:r>
    </w:p>
    <w:p>
      <w:pPr>
        <w:spacing w:after="0" w:line="14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both the three and six months ended December 28, 2018, Mobile Telephone Networks Group (MTN Group) accounted for 12% of our total revenue. During the three and six months ended December 29, 2017, MTN Group accounted for 11% and 13%, respectively, of our total revenue. As of December 28, 2018 and June 29, 2018, MTN Group also accounted for 20% and 13%, respectively, of our accounts receivable. No other customers accounted for more than 10% of our revenue or accounts receivable for the periods presented. We have entered into separate and distinct contracts with MTN Group, as well as separate arrangements with their various subsidiaries. The loss of all business from MTN Group, or any other significant customers, could adversely affect our unaudited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effective tax rate varies from the U.S. federal statutory rate of 21% due to results of foreign operations that are subject to income taxes at different statutory rates, certain jurisdictions where we cannot recognize tax benefits on current losses,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tax benefit from release of valuation allowance. During interim periods, we accrue tax expenses for jurisdictions that are anticipated to be profitable for fiscal 2019.</w:t>
      </w:r>
    </w:p>
    <w:p>
      <w:pPr>
        <w:spacing w:after="0" w:line="11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determination of our income taxes for the six months ended December 28, 2018 and December 29, 2017 was based on our estimated annual effective tax rate adjusted for losses in certain jurisdictions for which no tax benefit can be recognized. The tax benefit for the six months ended December 28, 2018 was primarily due to tax expense related to profitable subsidiaries, net against the release of valuation allowance due to the potential foreign tax refund to be received from the Department of Federal Revenue of Brazil. The tax benefit for the six months ended December 29, 2017 was primarily due to the foreign tax refunds received from the Inland Revenue Authority of Singapore (IRAS) and the release of valuation allowance related to the refundable alternative minimum tax credit as provided under the Tax Cuts and Jobs Act (the Tax Act), offset by tax expense related to profitable subsidiaries.</w:t>
      </w:r>
    </w:p>
    <w:p>
      <w:pPr>
        <w:spacing w:after="0" w:line="1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Due to the uncertainty regarding the timing and extent of our future profitability, we continue to record a full valuation allowance to offset our U.S. deferred tax assets which primarily represent future income tax benefits associated with our operating losses because we do not currently believe that it is more likely than not that these assets will be realized. In the future, if we conclude that sufficient positive evidence (including our estimate of future taxable income) exists to support a reversal of all or a portion of the valuation allowance, we expect that a significant portion of any release of the valuation allowance will be recorded as an income tax benefit at the time of release.</w:t>
      </w:r>
    </w:p>
    <w:p>
      <w:pPr>
        <w:spacing w:after="0" w:line="134"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We entered into a tax sharing agreement with Harris Corporation (Harris) effective on January 26, 2007, the acquisition date of Stratex. The sharing agreement addresses, among other things, the settlement process associated with pre-merger tax liabilities and tax attributes that were attributable to the Microwave Communication Division when it was a division of Harris. There were no settlement payments recorded since the acquisition date.</w:t>
      </w:r>
    </w:p>
    <w:p>
      <w:pPr>
        <w:spacing w:after="0" w:line="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first quarter of fiscal 2019, we received notification from the Department of Federal Revenue of Brazil that our withholding tax refund request had been approved. We recorded a net discrete income tax benefit of $1.6 million for the release of valuation allowance previously recorded as a deferred tax asset for the withholding tax credits. This consisted of an income tax benefit of $1.9 million for the refundable withholding tax credit, less tax expense of $0.3 million from recognizing an ASC 740-10 reserve previously recorded as a reduction to the withholding tax credits. During the three months ended December 28, 2018, we reduced the refundable withholding tax credit to $1.8 million, primarily due to foreign exchange differences, and recorded a discrete income tax expense of $0.1 million.</w:t>
      </w:r>
    </w:p>
    <w:p>
      <w:pPr>
        <w:spacing w:after="0" w:line="13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a number of open income tax audits covering various tax years, which vary from jurisdiction to jurisdiction. Our major tax jurisdictions where audits are pending include Singapore, Nigeria, and Saudi Arabia. The earliest years that are open and subject to potential audits are as follows: U.S. - 2003; Singapore - 2011; Nigeria - 2011: Saudi Arabia - 2010, and Ivory Coast - 2016.</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three and six months ended December 28, 2018 and December 29, 2017.</w:t>
      </w:r>
    </w:p>
    <w:p>
      <w:pPr>
        <w:spacing w:after="0" w:line="11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December 22, 2017, the SEC staff issued Staff Accounting Bulletin (SAB) No.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its financial statements. If a company cannot determine a provisional estimate to be included in its financial statements, it should continue to apply ASC 740 on the basis of the provisions of the tax laws that were in effect immediately before the enactment of the Tax Act.</w:t>
      </w:r>
    </w:p>
    <w:p>
      <w:pPr>
        <w:spacing w:after="0" w:line="13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connection with our initial analysis of the impact of the Tax Act, we recorded provisional estimates related to the remeasurement of deferred taxes and the Deemed Repatriation Transition Tax in our financial statements for our fiscal year ended June 29, 2018. The measurement period ended in the second quarter of fiscal 2019. As of December 28, 2018, we have completed the accounting for the impact of the Tax Act based on the guidance, interpretations, and data available. No adjustments to these provisional estimates have been recorded. Although the measurement period has closed, the accounting for the impact of the Tax Act may change to account for additional factors such as the issuance of further regulatory guidance, changes in interpretations, the collection and analysis of additional information, and any deferred adjustments related to the filing of our 2017 federal and state income tax returns. In accordance with ASC 740, we will recognize any additional effects of the guidance in income tax expense (benefit) in the period that such guidance is issued.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1" w:name="page22"/>
    <w:bookmarkEnd w:id="21"/>
    <w:p>
      <w:pPr>
        <w:jc w:val="both"/>
        <w:ind w:firstLine="486"/>
        <w:spacing w:after="0" w:line="279" w:lineRule="auto"/>
        <w:rPr>
          <w:sz w:val="20"/>
          <w:szCs w:val="20"/>
          <w:color w:val="auto"/>
        </w:rPr>
      </w:pPr>
      <w:r>
        <w:rPr>
          <w:rFonts w:ascii="Arial" w:cs="Arial" w:eastAsia="Arial" w:hAnsi="Arial"/>
          <w:sz w:val="17"/>
          <w:szCs w:val="17"/>
          <w:color w:val="auto"/>
        </w:rPr>
        <w:t>For tax years beginning after December 31, 2017, the Tax Act introduced new provisions of U.S. taxation of certain Global Intangible Low-Taxed Income (GILTI). As of December 28, 2018, we have not yet determined our policy election with respect to whether to record deferred taxes for temporary basis differences expected to reverse as GILTI in future periods, or account for taxes on GILTI using the period cost method. However, as of December 28, 2018, we did not expect to generate a GILTI inclusion due to a forecasted overall net loss for our foreign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2026. We lease approximately 19,000 square feet of office space in Milpitas, California as our corporate headquarters.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28, 2018, our future minimum lease payments under all non-cancelable operating leases with an initial lease term in excess of one year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10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(two quarters remaining)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1,323</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196</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1,873</w:t>
            </w:r>
          </w:p>
        </w:tc>
      </w:tr>
      <w:tr>
        <w:trPr>
          <w:trHeight w:val="27"/>
        </w:trPr>
        <w:tc>
          <w:tcPr>
            <w:tcW w:w="10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5,508</w:t>
            </w: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These commitments do not contain any material rent escalations, rent holidays, contingent rent, rent concessions, leasehold improvement incentives or unusual provisions or conditions. We sublease a portion of our facilities to third parties and the total minimum rents to be received in the future under our non-cancelable subleases were $0.1 million as of December 28, 2018. The future minimum lease payments are not reduced by the minimum sublease rents.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 expense for operating leases, including rentals on a month-to-month basis,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December 28,</w:t>
            </w:r>
          </w:p>
        </w:tc>
        <w:tc>
          <w:tcPr>
            <w:tcW w:w="160" w:type="dxa"/>
            <w:vAlign w:val="bottom"/>
          </w:tcPr>
          <w:p>
            <w:pPr>
              <w:spacing w:after="0"/>
              <w:rPr>
                <w:sz w:val="13"/>
                <w:szCs w:val="13"/>
                <w:color w:val="auto"/>
              </w:rPr>
            </w:pPr>
          </w:p>
        </w:tc>
        <w:tc>
          <w:tcPr>
            <w:tcW w:w="110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December 28, 2018, we had outstanding purchase obligations with our suppliers or contract manufacturers of $19.4 million. In addition, we had contractual obligations of approximately $1.8 million associated with software licenses as of December 28,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December 28, 2018, we had no guarantees applicable to our debt arrangements.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jc w:val="both"/>
        <w:ind w:firstLine="486"/>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December 28, 2018, we had commercial commitments of $55.8 million outstanding that were not recorded on our unaudited Condensed Consolidated Balance Sheets. We do not believe, based on historical experience and information currently available, that it is probable that any significant amounts will be required to be paid on the performance guarantees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December 28, 2018,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December 28, 2018, we had not recorded any liabilities related to these indemnifications.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approximately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2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 and</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2018 Annual Report on Form 10-K filed with the SEC on August 28, 2018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50"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2019 and 2018 Results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June 28, 2019 is referred to as “fiscal 2019” or “2019” and our fiscal year ended June 29, 2018 is referred to as “fiscal 2018” or “2018.”</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energy and utility companies, public safety agencies and broadcast network operators across the world. Our products include point-to-point microwave and millimeter-wave radio transmission systems designed for first/last mile access, middle mile/backhaul, and long-distance trunking applications. We have a portfolio of our own internet protocol routers optimized for both wireless transport and mixed optical fiber and wireless transport applications. We provide network management software tools and applications to enable the deployment, monitoring and management of our systems. Beyond the portfolio of solutions developed in-house we source, qualify, supply and, support third party equipment such as antennas, routers, optical transmission equipment and other technology and equipment necessary to build and deploy a complete telecommunications transmission network. We also provide a full suite of professional services for planning, deployment, operations and maintenance of our customers’ networks.</w:t>
      </w:r>
    </w:p>
    <w:p>
      <w:pPr>
        <w:spacing w:after="0" w:line="12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anticipate a return to top line growth in fiscal 2019 based on progress made in expanding our solutions portfolio, increasing addressable markets and applications, along with the gains we have already made in expanding our customer footprint. As we continue to execute on our technology roadmap we are engaging more deeply with customers on the evolution of use cases and applications as 5th Generation mobile and broadband networks edge closer to implementation and begin to factor more strongly in the vendor selection process. We are confident in our ability to address future 5G market needs. We will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3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trend of increasing demand for bandwidth is well established and set to continue across all geographic and vertical markets creating opportunities for network enhancements, expansions and modernizations.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to provide increased managed services to our customers, including but not limited to network design, network monitoring, optimization, asset tracking, inventory management, final configuration and warehousing services.</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Within the industry there continues to be strong price competition for new business. Periodic large service provider customer consolidations can increase opportunity or intensify competition from time to time or may increase the uncertainty in the timing of purchases and vendor selections.</w:t>
      </w:r>
    </w:p>
    <w:p>
      <w:pPr>
        <w:spacing w:after="0" w:line="9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continue to explore strategic alternatives to improve the market position and profitability of our product offerings in the marketplace, generate additional liquidity and enhance our valuation. We may pursue our goals through organic growth and through strategic alternatives. Some of these alternatives have included, and could continue to include, selective acquisitions, divestitures and the sale of assets or securities. We have provided and may from time to time in the future provide, information to interested parties regarding our business and operations in connection with various potential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market for mobile backhaul continues to be our primary addressable market segment and, over the long term,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5" w:name="page26"/>
    <w:bookmarkEnd w:id="25"/>
    <w:p>
      <w:pPr>
        <w:jc w:val="both"/>
        <w:spacing w:after="0" w:line="269" w:lineRule="auto"/>
        <w:rPr>
          <w:sz w:val="20"/>
          <w:szCs w:val="20"/>
          <w:color w:val="auto"/>
        </w:rPr>
      </w:pPr>
      <w:r>
        <w:rPr>
          <w:rFonts w:ascii="Arial" w:cs="Arial" w:eastAsia="Arial" w:hAnsi="Arial"/>
          <w:sz w:val="17"/>
          <w:szCs w:val="17"/>
          <w:color w:val="auto"/>
        </w:rPr>
        <w:t>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the emergence of early stage LTE deployments. Our international business continues to be affected by fluctuations in currency valuation relative to the U.S. dollar, which may limit local purchasing power and capital spending, slow the payments from customers in those affected locations and cause variations in our overall operating costs.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2018 Annual Report on Form 10-K, a number of factors could prevent us from achieving our objectives, including ongoing pricing pressures attributable to competition and macroeconomic conditions in the geographic markets that we service.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and six months ended December 28, 2018 and December 29, 2017 and the related changes are shown in the table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0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28, 2018</w:t>
            </w:r>
          </w:p>
        </w:tc>
        <w:tc>
          <w:tcPr>
            <w:tcW w:w="12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2017</w:t>
            </w:r>
          </w:p>
        </w:tc>
        <w:tc>
          <w:tcPr>
            <w:tcW w:w="100" w:type="dxa"/>
            <w:vAlign w:val="bottom"/>
            <w:vMerge w:val="restart"/>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28, 2018</w:t>
            </w:r>
          </w:p>
        </w:tc>
        <w:tc>
          <w:tcPr>
            <w:tcW w:w="10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2017</w:t>
            </w:r>
          </w:p>
        </w:tc>
        <w:tc>
          <w:tcPr>
            <w:tcW w:w="120" w:type="dxa"/>
            <w:vAlign w:val="bottom"/>
            <w:vMerge w:val="restart"/>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67,987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(2,908)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2100" w:type="dxa"/>
            <w:vAlign w:val="bottom"/>
          </w:tcPr>
          <w:p>
            <w:pPr>
              <w:ind w:left="40"/>
              <w:spacing w:after="0"/>
              <w:rPr>
                <w:sz w:val="20"/>
                <w:szCs w:val="20"/>
                <w:color w:val="auto"/>
              </w:rPr>
            </w:pPr>
            <w:r>
              <w:rPr>
                <w:rFonts w:ascii="Arial" w:cs="Arial" w:eastAsia="Arial" w:hAnsi="Arial"/>
                <w:sz w:val="16"/>
                <w:szCs w:val="16"/>
                <w:color w:val="auto"/>
              </w:rPr>
              <w:t>Africa and the Middle East</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13,832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12,682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1,150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9.1 %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27,979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26,144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1,835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and Russia</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(1,315)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20"/>
        </w:trPr>
        <w:tc>
          <w:tcPr>
            <w:tcW w:w="2100" w:type="dxa"/>
            <w:vAlign w:val="bottom"/>
          </w:tcPr>
          <w:p>
            <w:pPr>
              <w:ind w:left="40"/>
              <w:spacing w:after="0"/>
              <w:rPr>
                <w:sz w:val="20"/>
                <w:szCs w:val="20"/>
                <w:color w:val="auto"/>
              </w:rPr>
            </w:pPr>
            <w:r>
              <w:rPr>
                <w:rFonts w:ascii="Arial" w:cs="Arial" w:eastAsia="Arial" w:hAnsi="Arial"/>
                <w:sz w:val="16"/>
                <w:szCs w:val="16"/>
                <w:color w:val="auto"/>
              </w:rPr>
              <w:t>Latin America and Asia</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00" w:type="dxa"/>
            <w:vAlign w:val="bottom"/>
          </w:tcPr>
          <w:p>
            <w:pPr>
              <w:ind w:left="200"/>
              <w:spacing w:after="0"/>
              <w:rPr>
                <w:sz w:val="20"/>
                <w:szCs w:val="20"/>
                <w:color w:val="auto"/>
              </w:rPr>
            </w:pPr>
            <w:r>
              <w:rPr>
                <w:rFonts w:ascii="Arial" w:cs="Arial" w:eastAsia="Arial" w:hAnsi="Arial"/>
                <w:sz w:val="16"/>
                <w:szCs w:val="16"/>
                <w:color w:val="auto"/>
              </w:rPr>
              <w:t>Pacific</w:t>
            </w:r>
          </w:p>
        </w:tc>
        <w:tc>
          <w:tcPr>
            <w:tcW w:w="40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10,707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8,242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2,465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29.9 %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25,589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15,514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w w:val="93"/>
              </w:rPr>
              <w:t>10,075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64.9 %</w:t>
            </w:r>
          </w:p>
        </w:tc>
        <w:tc>
          <w:tcPr>
            <w:tcW w:w="0" w:type="dxa"/>
            <w:vAlign w:val="bottom"/>
          </w:tcPr>
          <w:p>
            <w:pPr>
              <w:spacing w:after="0"/>
              <w:rPr>
                <w:sz w:val="1"/>
                <w:szCs w:val="1"/>
                <w:color w:val="auto"/>
              </w:rPr>
            </w:pPr>
          </w:p>
        </w:tc>
      </w:tr>
      <w:tr>
        <w:trPr>
          <w:trHeight w:val="33"/>
        </w:trPr>
        <w:tc>
          <w:tcPr>
            <w:tcW w:w="2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3,365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117,905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7,687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the second quarter and first six months of fiscal 2019, we recognized revenue based on ASC 606 but revenue for the first quarter and first six months of fiscal 2018 was recognized based on ASC 605. Therefore, the periods are not directly comparable. For additional information regarding the impact of the new accounting standard on our revenue, please refer to “</w:t>
      </w:r>
      <w:r>
        <w:rPr>
          <w:rFonts w:ascii="Arial" w:cs="Arial" w:eastAsia="Arial" w:hAnsi="Arial"/>
          <w:sz w:val="17"/>
          <w:szCs w:val="17"/>
          <w:i w:val="1"/>
          <w:iCs w:val="1"/>
          <w:color w:val="auto"/>
        </w:rPr>
        <w:t>Part I, Item 1, Financial statements - Note 3. Revenue Recognition.”</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revenue in North America increased by $0.3 million, or 0.9%, during the second quarter of fiscal 2019 compared with the same period of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2018. Revenue in North America decreased by $2.9 million, or 4.3%, during the first six months of fiscal 2019 compared with the same period of fiscal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North America revenue during the first six months was due to the timing of completion of customer project milestones.</w:t>
      </w:r>
    </w:p>
    <w:p>
      <w:pPr>
        <w:spacing w:after="0" w:line="1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revenue in Africa and the Middle East increased by $1.2 million, or 9.1%, for the second quarter of fiscal 2019 compared with the same period of fiscal 2018. Revenue in Africa and the Middle East increased by $1.8 million, or 7.0%, during the first six months of fiscal 2019 compared with the same period of fiscal 2018. The increase in revenue was primarily due to increased sales to customers in West Africa and to our large mobile operator customers in the region.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in Europe and Russia decreased by $0.6 million, or 15.2%, for the second quarter of fiscal 2019 compared with the same quarter of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2018. Revenue in Europe and Russia decreased by $1.3 million, or 15.9%, during the first six months of fiscal 2019 compared with the same period of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The decrease was due to lower sales to mobile and private network customers in the region.</w:t>
      </w:r>
    </w:p>
    <w:p>
      <w:pPr>
        <w:spacing w:after="0" w:line="15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Revenue in Latin America and Asia Pacific increased by $2.5 million, or 29.9%, during the second quarter of fiscal 2019 compared with the same period in fiscal 2018. Revenue in Latin America and Asia Pacific increased by $10.1 million, or 64.9%, during the first six months of fiscal 2019 compared with the same period of fiscal 2018. The increase was primarily due to higher sales volume to several mobile operator customers in Asia Pacific.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0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28, 2018</w:t>
            </w:r>
          </w:p>
        </w:tc>
        <w:tc>
          <w:tcPr>
            <w:tcW w:w="12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2017</w:t>
            </w:r>
          </w:p>
        </w:tc>
        <w:tc>
          <w:tcPr>
            <w:tcW w:w="100" w:type="dxa"/>
            <w:vAlign w:val="bottom"/>
            <w:vMerge w:val="restart"/>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28, 2018</w:t>
            </w:r>
          </w:p>
        </w:tc>
        <w:tc>
          <w:tcPr>
            <w:tcW w:w="10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2017</w:t>
            </w:r>
          </w:p>
        </w:tc>
        <w:tc>
          <w:tcPr>
            <w:tcW w:w="120" w:type="dxa"/>
            <w:vAlign w:val="bottom"/>
            <w:vMerge w:val="restart"/>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37,719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4,237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81,081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72,786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8,295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237"/>
        </w:trPr>
        <w:tc>
          <w:tcPr>
            <w:tcW w:w="2100" w:type="dxa"/>
            <w:vAlign w:val="bottom"/>
          </w:tcPr>
          <w:p>
            <w:pPr>
              <w:ind w:left="40"/>
              <w:spacing w:after="0"/>
              <w:rPr>
                <w:sz w:val="20"/>
                <w:szCs w:val="20"/>
                <w:color w:val="auto"/>
              </w:rPr>
            </w:pPr>
            <w:r>
              <w:rPr>
                <w:rFonts w:ascii="Arial" w:cs="Arial" w:eastAsia="Arial" w:hAnsi="Arial"/>
                <w:sz w:val="16"/>
                <w:szCs w:val="16"/>
                <w:color w:val="auto"/>
              </w:rPr>
              <w:t>Services</w:t>
            </w: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23,132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24,004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44,511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45,119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61,723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3,365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117,905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7,687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revenue from product sales increased by $4.2 million, or 11.2%, for the second quarter of fiscal 2019 compared with the same period in fiscal 2018. Product volume increased over the same quarter in fiscal 2018 in Asia Pacific, the Middle East and Africa and North America, offset by smaller decreases in Latin America and Europe. Our services revenue decreased by $0.9 million, or 3.6%, during the second quarter of fiscal 2019 compared with the same period of fiscal 2018. Decreased sales in North America and the Middle East and Africa were offset in part by smaller increases in the other regions.</w:t>
      </w:r>
    </w:p>
    <w:p>
      <w:pPr>
        <w:spacing w:after="0" w:line="10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revenue from product sales increased by $8.3 million, or 11.4%, for the first six months of fiscal 2019 compared with the same period in fiscal 2018. Product volume increased over the same quarter in fiscal 2018 in Asia Pacific and in the Middle East and Africa regions, partially offset by smaller decreases in the other sectors. Our services revenue decreased by $0.6 million, or 1.3%, during the first six months of fiscal 2019 compared with the same period of fiscal 2018. Decreased sales in North America, the Middle East Africa and Asia Pacific were offset in part by increased sales in Europe and Latin America.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w w:val="92"/>
              </w:rPr>
              <w:t>(In thousands, except percentages)</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28, 2018</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28, 2018</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Change</w:t>
            </w:r>
          </w:p>
        </w:tc>
      </w:tr>
      <w:tr>
        <w:trPr>
          <w:trHeight w:val="23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65,088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61,723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3,365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125,592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117,905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7,687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8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42,598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39,833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2,765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85,177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78,719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6,458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2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21,890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40,415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39,186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1,229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2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4"/>
        </w:trPr>
        <w:tc>
          <w:tcPr>
            <w:tcW w:w="208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2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Product margin %</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6"/>
                <w:szCs w:val="16"/>
                <w:color w:val="auto"/>
              </w:rPr>
              <w:t>Service margin %</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Gross margin for the second quarter and first six months of fiscal 2019 increased by $0.6 million, or 2.7%, and $1.2 million, or 3.1%, respectively, compared with the same period in fiscal 2018. Our gross margin increased from the prior-year quarter primarily due to reduced supply chain costs and an increase in volume of product sales.</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Gross margin as a percentage of revenue decreased in the second quarter of fiscal 2019 compared with the same period in fiscal 2018 primarily due to lower profitability of our service business in all regions. Product margin as a percentage of product revenue improved in the second quarter of fiscal 2019 compared with the same period in fiscal 2018 primarily due to reduced supply chain costs and an increase in volume of product sales. Service margin as a percentage of service revenue decreased in the second quarter of fiscal 2019 compared with the same period in fiscal 2018 primarily due to decreased margins on certain installation projects during the quarter.</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Gross margin as a percentage of revenue decreased in the first six months of fiscal 2019 compared with the same period in fiscal 2018 primarily due to lower margin rates for services. Product margin as a percentage of product revenue was relatively flat in the first six months of fiscal 2019 compared with the same period in fiscal 2018 primarily due to lower margin rates on product sales in the Asia Pacific region. Service margin as a percentage of service revenue decreased in the first six months of fiscal 2019 compared with the same period in fiscal 2018 primarily due to decreased margins on certain installation projects during the quarter in North America and Asia Pacific.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w w:val="99"/>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28, 2018</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29, 2017</w:t>
            </w: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28, 2018</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29, 2017</w:t>
            </w:r>
          </w:p>
        </w:tc>
        <w:tc>
          <w:tcPr>
            <w:tcW w:w="9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94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380" w:type="dxa"/>
            <w:vAlign w:val="bottom"/>
            <w:gridSpan w:val="3"/>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420" w:type="dxa"/>
            <w:vAlign w:val="bottom"/>
            <w:tcBorders>
              <w:top w:val="single" w:sz="8" w:color="auto"/>
              <w:bottom w:val="single" w:sz="8" w:color="CCEEFF"/>
            </w:tcBorders>
            <w:shd w:val="clear" w:color="auto" w:fill="CCEEFF"/>
          </w:tcPr>
          <w:p>
            <w:pPr>
              <w:jc w:val="right"/>
              <w:ind w:right="243"/>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5,144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23"/>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6" w:right="239" w:bottom="1440" w:gutter="0" w:footer="0" w:header="0"/>
        </w:sectPr>
      </w:pPr>
    </w:p>
    <w:bookmarkStart w:id="27" w:name="page28"/>
    <w:bookmarkEnd w:id="27"/>
    <w:p>
      <w:pPr>
        <w:jc w:val="both"/>
        <w:ind w:firstLine="486"/>
        <w:spacing w:after="0" w:line="259" w:lineRule="auto"/>
        <w:rPr>
          <w:sz w:val="20"/>
          <w:szCs w:val="20"/>
          <w:color w:val="auto"/>
        </w:rPr>
      </w:pPr>
      <w:r>
        <w:rPr>
          <w:rFonts w:ascii="Arial" w:cs="Arial" w:eastAsia="Arial" w:hAnsi="Arial"/>
          <w:sz w:val="18"/>
          <w:szCs w:val="18"/>
          <w:color w:val="auto"/>
        </w:rPr>
        <w:t>Our research and development expenses increased by $0.2 million, or 3.3%, in the second quarter of fiscal 2019 compared with the same period in fiscal 2018. The increase was primarily due to increased product development activities. Our research and development expenses increased by $0.3 million, or 3.1%, in the first six months of fiscal 2019 compared with the same period in fiscal 2018. The increase was primarily due to the increased level of product development activity.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w w:val="99"/>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28, 2018</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29, 2017</w:t>
            </w: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28, 2018</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29, 2017</w:t>
            </w:r>
          </w:p>
        </w:tc>
        <w:tc>
          <w:tcPr>
            <w:tcW w:w="9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94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8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380" w:type="dxa"/>
            <w:vAlign w:val="bottom"/>
            <w:gridSpan w:val="3"/>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and administrative</w:t>
            </w:r>
          </w:p>
        </w:tc>
        <w:tc>
          <w:tcPr>
            <w:tcW w:w="380" w:type="dxa"/>
            <w:vAlign w:val="bottom"/>
            <w:tcBorders>
              <w:top w:val="single" w:sz="8" w:color="auto"/>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14,104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23"/>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27,997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27,826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selling and administrative expenses were relatively flat in the second quarter and first six months of fiscal 2019 compared with the same period in fiscal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w w:val="99"/>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28, 2018</w:t>
            </w:r>
          </w:p>
        </w:tc>
        <w:tc>
          <w:tcPr>
            <w:tcW w:w="10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2017</w:t>
            </w:r>
          </w:p>
        </w:tc>
        <w:tc>
          <w:tcPr>
            <w:tcW w:w="120" w:type="dxa"/>
            <w:vAlign w:val="bottom"/>
            <w:vMerge w:val="restart"/>
          </w:tcPr>
          <w:p>
            <w:pPr>
              <w:spacing w:after="0"/>
              <w:rPr>
                <w:sz w:val="12"/>
                <w:szCs w:val="12"/>
                <w:color w:val="auto"/>
              </w:rPr>
            </w:pPr>
          </w:p>
        </w:tc>
        <w:tc>
          <w:tcPr>
            <w:tcW w:w="7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28, 2018</w:t>
            </w:r>
          </w:p>
        </w:tc>
        <w:tc>
          <w:tcPr>
            <w:tcW w:w="100" w:type="dxa"/>
            <w:vAlign w:val="bottom"/>
            <w:vMerge w:val="restart"/>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2017</w:t>
            </w:r>
          </w:p>
        </w:tc>
        <w:tc>
          <w:tcPr>
            <w:tcW w:w="120" w:type="dxa"/>
            <w:vAlign w:val="bottom"/>
            <w:vMerge w:val="restart"/>
          </w:tcPr>
          <w:p>
            <w:pPr>
              <w:spacing w:after="0"/>
              <w:rPr>
                <w:sz w:val="12"/>
                <w:szCs w:val="12"/>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102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   1,046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(418.4)%</w:t>
            </w:r>
          </w:p>
        </w:tc>
        <w:tc>
          <w:tcPr>
            <w:tcW w:w="0" w:type="dxa"/>
            <w:vAlign w:val="bottom"/>
          </w:tcPr>
          <w:p>
            <w:pPr>
              <w:spacing w:after="0"/>
              <w:rPr>
                <w:sz w:val="1"/>
                <w:szCs w:val="1"/>
                <w:color w:val="auto"/>
              </w:rPr>
            </w:pPr>
          </w:p>
        </w:tc>
      </w:tr>
      <w:tr>
        <w:trPr>
          <w:trHeight w:val="33"/>
        </w:trPr>
        <w:tc>
          <w:tcPr>
            <w:tcW w:w="2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Expenses incurred in the first six months of fiscal 2019 were due to the implementation of the Fiscal 2018-2019 Plan. We expect to substantially complete the restructuring activities under the Fiscal 2018-2019 Plan by the end of fiscal 2019. Payments related to the accrued restructuring liability balance for this plan are expected to be fully paid by the end of fiscal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0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28, 2018</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29, 2017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28, 2018</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29, 2017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0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36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21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484.6 %</w:t>
            </w:r>
          </w:p>
        </w:tc>
        <w:tc>
          <w:tcPr>
            <w:tcW w:w="1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326.3 %</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2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bank certificates of deposit.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was primarily related to interest associated with borrowings under the SVB Credit Facility and discounts on customer letters of credit.</w:t>
      </w:r>
    </w:p>
    <w:p>
      <w:pPr>
        <w:spacing w:after="0" w:line="19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Other (expense) income, net during fiscal 2018 was primarily comprised of a foreign exchange loss related to a dividend declared by our Nigeria entity (a partnership for U.S. tax purposes) to our Aviat U.S. entity.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28, 2018</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29, 2017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28, 2018</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29, 2017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10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34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0"/>
        </w:trPr>
        <w:tc>
          <w:tcPr>
            <w:tcW w:w="2120" w:type="dxa"/>
            <w:vAlign w:val="bottom"/>
          </w:tcPr>
          <w:p>
            <w:pPr>
              <w:ind w:left="40"/>
              <w:spacing w:after="0"/>
              <w:rPr>
                <w:sz w:val="20"/>
                <w:szCs w:val="20"/>
                <w:color w:val="auto"/>
              </w:rPr>
            </w:pPr>
            <w:r>
              <w:rPr>
                <w:rFonts w:ascii="Arial" w:cs="Arial" w:eastAsia="Arial" w:hAnsi="Arial"/>
                <w:sz w:val="16"/>
                <w:szCs w:val="16"/>
                <w:color w:val="auto"/>
              </w:rPr>
              <w:t>Provision for (benefit from)</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(2,564)</w:t>
            </w:r>
          </w:p>
        </w:tc>
        <w:tc>
          <w:tcPr>
            <w:tcW w:w="100" w:type="dxa"/>
            <w:vAlign w:val="bottom"/>
          </w:tcPr>
          <w:p>
            <w:pPr>
              <w:spacing w:after="0"/>
              <w:rPr>
                <w:sz w:val="17"/>
                <w:szCs w:val="17"/>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3,104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(3,203)</w:t>
            </w:r>
          </w:p>
        </w:tc>
        <w:tc>
          <w:tcPr>
            <w:tcW w:w="12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3,025</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jc w:val="both"/>
        <w:ind w:firstLine="486"/>
        <w:spacing w:after="0" w:line="255" w:lineRule="auto"/>
        <w:rPr>
          <w:sz w:val="20"/>
          <w:szCs w:val="20"/>
          <w:color w:val="auto"/>
        </w:rPr>
      </w:pPr>
      <w:r>
        <w:rPr>
          <w:rFonts w:ascii="Arial" w:cs="Arial" w:eastAsia="Arial" w:hAnsi="Arial"/>
          <w:sz w:val="18"/>
          <w:szCs w:val="18"/>
          <w:color w:val="auto"/>
        </w:rPr>
        <w:t>The tax benefit for the six months ended December 28, 2018 was primarily due to tax expense related to profitable subsidiaries, net against the release of valuation allowance due to the potential foreign tax refund to be received from the Department of Federal Revenue of Brazil. During the first quarter of fiscal 2019, we recorded a net discrete tax benefit of $1.6 million for the release of valuation allowance on a deferred tax asset recorded for $1.9 million of refundable withholding tax credit to be received from the Department of Federal Revenue of Brazil, less tax expense of $0.3 million from recognizing an ASC 740-10 reserve previously recorded as a reduction against the deferred tax for the withholding tax credit. During the three months ended December 28, 2018, we reduced the refundable withholding tax credit to $1.8 million, primarily due to foreign exchange differences, and recorded a discrete income tax expense of $0.1 million.</w:t>
      </w:r>
    </w:p>
    <w:p>
      <w:pPr>
        <w:spacing w:after="0" w:line="1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first quarter of fiscal 2018, we received a refund of $1.3 million from IRAS which represented a final settlement. The determination of the effective tax rate reflects tax expense and benefit generated in certain jurisdictions. However, jurisdictions with a year-to-date loss where no tax benefit can be recognized are excluded from the annual effective tax rate.</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Due to the uncertainty regarding the timing and extent of our future profitability, we continue to record a full valuation allowance to offset our U.S. deferred tax assets which primarily represent future income tax benefits associated with our operating losses because we do not currently believe that it is more likely than not that these assets will be realized. In the future, if we conclude that sufficient positive evidence (including our estimate of future taxable income) exists to support a reversal of all or a portion of the valuation allowance, we expect that a significant portion of any release of the valuation allowance will be recorded as an income tax benefit at the time of release.</w:t>
      </w:r>
    </w:p>
    <w:p>
      <w:pPr>
        <w:spacing w:after="0" w:line="13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If we determine that it is a more likely than not that we will utilize net operating losses in the future and release a portion of our valuation allowance, a payable could potentially result from the repayment to Harris Corporation for the amount of net operating losses utilized related to Harris Corporation under the historical tax sharing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28, 2018, our total cash, cash equivalents and restricted cash were $31.5 million. Approximately $15.2 million, or 48.3% was held in the United States. The remaining balance of $16.3 million, or 51.7%, was held outside the United States. Of the amount of cash and cash equivalents held by our foreign subsidiaries at December 28, 2018, $14.8 million was held in jurisdictions where our undistributed earnings are indefinitely reinvested, and if repatriated, would be subject to U.S. taxes which would be nominal.</w:t>
      </w:r>
    </w:p>
    <w:p>
      <w:pPr>
        <w:spacing w:after="0" w:line="13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Cash used in operating activities was $0.6 million for the first six months of fiscal 2019, compared to cash provided by operating activities of $9.2 million for the first six months of fiscal 2018. Cash used in or provided by operating activities is presented as net income adjusted for non-cash items and changes in operating assets and liabilities. Net contribution of non-cash items increased cash by $2.2 million and net changes in operating assets and liabilities decreased cash by $8.7 million for the first six months of fiscal 2019 as compared to the same period in fiscal 2018.</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$2.2 million increase in the net contribution of non-cash items was primarily due to a $2.9 million net increase in deferred tax expense, partially offset by a $0.2 million recovery for uncollectible receivables, a $0.2 million decrease in share-based compensation expense, and a $0.2 million decrease in depreciation and amortization.</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Changes in operating assets and liabilities resulted in a net decrease of $8.7 million to cash for the first six months of fiscal 2019, compared to the same period in 2018. Accounts receivable and unbilled costs fluctuate from period to period, depending on the amount, timing of sales and billing activities, as well as cash collections and the impact from the adoption of ASC 606. The fluctuations in accounts payable and accrued expenses were primarily due to the timing of liabilities incurred and vendor payments. The change in inventories and in customer service inventories were primarily due to demand, our focus on improving our inventory management, and the impact from the adoption of ASC 606. The increase in customer advance payments and unearned revenue was due to the timing of payment from customers and revenue recognition. We used $0.5 million in cash during the first six months of fiscal 2019 on expenses related to restructuring liabilities.</w:t>
      </w:r>
    </w:p>
    <w:p>
      <w:pPr>
        <w:spacing w:after="0" w:line="1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Cash used in investing activities was $3.2 million and $3.3 million for the first six months of fiscal 2019 and 2018, respectively, related to the acquisition of property, plant and equipment. During the remainder of fiscal year 2019, we expect to spend approximately $3.0 million for capital expenditures, primarily on equipment for development and manufacturing of new products and to support customer managed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29" w:name="page30"/>
    <w:bookmarkEnd w:id="29"/>
    <w:p>
      <w:pPr>
        <w:ind w:left="500"/>
        <w:spacing w:after="0"/>
        <w:rPr>
          <w:sz w:val="20"/>
          <w:szCs w:val="20"/>
          <w:color w:val="auto"/>
        </w:rPr>
      </w:pPr>
      <w:r>
        <w:rPr>
          <w:rFonts w:ascii="Arial" w:cs="Arial" w:eastAsia="Arial" w:hAnsi="Arial"/>
          <w:sz w:val="17"/>
          <w:szCs w:val="17"/>
          <w:color w:val="auto"/>
        </w:rPr>
        <w:t>Cash used in financing activities was $2.0 million for the first six months of fiscal 2019 primarily related to the repurchase of common stock</w:t>
      </w:r>
    </w:p>
    <w:p>
      <w:pPr>
        <w:spacing w:after="0" w:line="1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December 28, 2018, our principal sources of liquidity consisted of the $31.5 million in cash, cash equivalents and short-term investments, $15.7 million of available credit under our $30.0 million SVB Credit Facility which expires on June 29, 2019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29, 2019. In addition, there can be no assurance that our business will generate cash flow from operations,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December 28, 2018 and June 29, 2018. The line of credit also provides for the issuance of standby letters of credit and company credit cards, of which $0.1 million was outstanding as of December 28, 2018. This facility may be terminated upon notice, is reviewed annually for renewal or modification, and is supported by a corporate guarantee.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had liabilities for restructuring activities totaling $2.2 million as of December 28, 2018, $1.6 million of which was classified as current liabilities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amounts disclosed in our fiscal 2018 Annual Report on Form 10-K filed with the SEC on August 28, 2018 include our commercial commitments and contractual obligations. During the first six months of fiscal 2019, no material changes occurred in our contractual obligations to purchase goods and services and to make payments under operating leases or our contingent liabilities on outstanding letters of credit, guarantees and other arrangements as disclosed in our fiscal 2018 Annual Report on Form 10-K. As of December 28, 2018, we had commercial commitments of $55.8 million outstanding that were not recorded on our unaudited Condensed Consolidated Balance Sheets. This is an increase of $4.3 million from the amount disclosed in our fiscal 2018 Annual Report on Form 10-K. Please refer to “Note 11 Commitments and Contingencies” of the Notes to unaudited Condensed Consolidated Financial Statements in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information about our critical accounting estimates, see the “Critical Accounting Estimates” section of “Item 7. Management’s Discussion and Analysis of Financial Condition and Results of Operations” in our fiscal 2018 Annual Report on Form 10-K other than for the impact of adopting new revenue accounting standards. Effective June 30, 2018, we adopted ASC 606. See “Note 3, Revenue Recognition” of the Notes to unaudited Condensed Consolidated Financial Statements for discussion of the impact of the adoption of ASC 606 on our policies for revenue.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Beginning the fourth quarter of fiscal 2015, we no longer prepared contemporaneous documentation of hedges for the new foreign exchange forward contracts we entered. As a result, the foreign exchange hedges no longer qualified as cash flow hedges. The changes in fair value related to the hedges were recorded in income or expenses line items on our statements of operations.</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December 28, 2018, we had foreign currency forward contracts outstanding with a total notional amount of $2.7 million consisting of four currencies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3"/>
              </w:rPr>
              <w:t>Notional Contract</w:t>
            </w:r>
          </w:p>
        </w:tc>
        <w:tc>
          <w:tcPr>
            <w:tcW w:w="440" w:type="dxa"/>
            <w:vAlign w:val="bottom"/>
          </w:tcPr>
          <w:p>
            <w:pPr>
              <w:spacing w:after="0"/>
              <w:rPr>
                <w:sz w:val="14"/>
                <w:szCs w:val="14"/>
                <w:color w:val="auto"/>
              </w:rPr>
            </w:pPr>
          </w:p>
        </w:tc>
        <w:tc>
          <w:tcPr>
            <w:tcW w:w="1040" w:type="dxa"/>
            <w:vAlign w:val="bottom"/>
          </w:tcPr>
          <w:p>
            <w:pPr>
              <w:jc w:val="center"/>
              <w:ind w:right="358"/>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2"/>
                <w:szCs w:val="12"/>
                <w:color w:val="auto"/>
              </w:rPr>
            </w:pPr>
          </w:p>
        </w:tc>
        <w:tc>
          <w:tcPr>
            <w:tcW w:w="104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34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5"/>
              </w:rPr>
              <w:t>(Local Currency)</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500</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Euro</w:t>
            </w:r>
          </w:p>
        </w:tc>
        <w:tc>
          <w:tcPr>
            <w:tcW w:w="1600" w:type="dxa"/>
            <w:vAlign w:val="bottom"/>
          </w:tcPr>
          <w:p>
            <w:pPr>
              <w:jc w:val="right"/>
              <w:ind w:right="139"/>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1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900</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Great Britain pound</w:t>
            </w:r>
          </w:p>
        </w:tc>
        <w:tc>
          <w:tcPr>
            <w:tcW w:w="1600" w:type="dxa"/>
            <w:vAlign w:val="bottom"/>
          </w:tcPr>
          <w:p>
            <w:pPr>
              <w:jc w:val="right"/>
              <w:ind w:right="139"/>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6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foreign exchange (loss) income recorded in our unaudited Condensed Consolidated Statements of Operations during the three and six months of fiscal 2019 and 2018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w w:val="98"/>
              </w:rPr>
              <w:t>December 29,</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Amount included in other expense</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foreign exchange (loss) income,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 10% adverse change in currency exchange rates for our foreign currency derivatives held as of December 28, 2018 would have an impact of approximately $0.3 million on the fair value of such instruments.</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for the first six months of fiscal 2019 was $0.3 million and was included as a component of stockholders’ equity. As of December 28, 2018 and June 29, 2018, the cumulative translation adjustment decreased our equity by $12.9 million and $12.6 million,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5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had $31.5 million in total cash, cash equivalents as of December 28, 2018. Cash equivalents totaled $15.7 million as of December 28, 2018 and were comprised of money market funds and bank certificates of deposit. Cash equivalents investments have been recorded at fair value on our balance sheet.</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cash equivalents earn interest at fixed rates; therefore, changes in interest rates will not generate a gain or loss on these investments unless they are sold prior to maturity. The weighted-average days to maturity for cash equivalents held as of December 28, 2018 was 24 days, and these investments had an average yield of approximately 7% per annum. A 10% change in interest rates on our cash equivalents and short-term investments is not expected to have a material impact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borrowings outstanding under the SVB Credit Facility incurred interest at the prime rate plus a spread of 0.50% to 1.50% with such spread determined based on our adjusted quick ratio. During the first six months of fiscal 2019, our weighted-average interest rate was 5.89% and the interest expense on these borrowings was insignificant.</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Based on management’s evaluation, with participation of our Chief Executive Officer (CEO) and Principal Financial Officer (PFO), as of the end of the period covered by this report, our CEO and PFO have concluded that our disclosure controls and procedures, as defined in Rules 13a-15(e) and 15d-15(e) under the Exchange Act, as of December 28, 2018,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principal executive officer and principal financial officer, as appropriate to allow timely decisions regarding required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the first quarter of fiscal 2019, we implemented certain internal controls over financial reporting in connection with our adoptions of ASC 606. There were no other changes in our internal control over financial reporting during the first six months ended December 28, 2018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including the CEO and PFO,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96" w:right="239" w:bottom="1440" w:gutter="0" w:footer="0" w:header="0"/>
        </w:sectPr>
      </w:pPr>
    </w:p>
    <w:bookmarkStart w:id="32" w:name="page33"/>
    <w:bookmarkEnd w:id="32"/>
    <w:p>
      <w:pPr>
        <w:jc w:val="center"/>
        <w:spacing w:after="0"/>
        <w:tabs>
          <w:tab w:leader="none" w:pos="20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Please refer to Legal Proceedings under “Note 11 Commitments and Contingencies” of the Notes to unaudited Condensed Consolidated Financial Statements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2018 Annual Report on Form 10-K filed with the SEC on August 28, 2018.</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2018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stock repurchases for the three months ended December 28, 2018:</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Shares Repurchased as</w:t>
            </w: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Repurchased Under</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7"/>
                <w:szCs w:val="17"/>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1560" w:type="dxa"/>
            <w:vAlign w:val="bottom"/>
          </w:tcPr>
          <w:p>
            <w:pPr>
              <w:jc w:val="center"/>
              <w:ind w:right="39"/>
              <w:spacing w:after="0" w:line="203" w:lineRule="exact"/>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r>
      <w:tr>
        <w:trPr>
          <w:trHeight w:val="210"/>
        </w:trPr>
        <w:tc>
          <w:tcPr>
            <w:tcW w:w="4240" w:type="dxa"/>
            <w:vAlign w:val="bottom"/>
            <w:gridSpan w:val="2"/>
          </w:tcPr>
          <w:p>
            <w:pPr>
              <w:ind w:left="1840"/>
              <w:spacing w:after="0"/>
              <w:rPr>
                <w:sz w:val="20"/>
                <w:szCs w:val="20"/>
                <w:color w:val="auto"/>
              </w:rPr>
            </w:pPr>
            <w:r>
              <w:rPr>
                <w:rFonts w:ascii="Arial" w:cs="Arial" w:eastAsia="Arial" w:hAnsi="Arial"/>
                <w:sz w:val="16"/>
                <w:szCs w:val="16"/>
                <w:b w:val="1"/>
                <w:bCs w:val="1"/>
                <w:color w:val="auto"/>
              </w:rPr>
              <w:t>Period</w:t>
            </w: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Repurchased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Announced Program</w:t>
            </w: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29, 2018 through October 26, 2018</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21,332</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6,753</w:t>
            </w: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October 27, 2018 through November 23, 2018</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23,034</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23,034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6,403</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November 24, 2018 through December 28, 2018</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23,640</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6,053</w:t>
            </w:r>
          </w:p>
        </w:tc>
      </w:tr>
      <w:tr>
        <w:trPr>
          <w:trHeight w:val="244"/>
        </w:trPr>
        <w:tc>
          <w:tcPr>
            <w:tcW w:w="4240" w:type="dxa"/>
            <w:vAlign w:val="bottom"/>
            <w:gridSpan w:val="2"/>
          </w:tcPr>
          <w:p>
            <w:pPr>
              <w:ind w:left="32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68,006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Stock Repurchase Programs</w:t>
      </w:r>
    </w:p>
    <w:p>
      <w:pPr>
        <w:spacing w:after="0" w:line="14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May 2018, our board of directors approved a repurchase program, which does not have an expiration date, for the repurchase of up to $7.5 million of our common stock. During the three months ended December 28, 2018, we repurchased $1.0 million of our common stock in the open market. As of December 28, 2018, $6.1 million remained available under our stock repurchase program.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938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40" w:type="dxa"/>
            <w:vAlign w:val="bottom"/>
            <w:gridSpan w:val="10"/>
          </w:tcPr>
          <w:p>
            <w:pPr>
              <w:ind w:left="180"/>
              <w:spacing w:after="0"/>
              <w:rPr>
                <w:sz w:val="20"/>
                <w:szCs w:val="20"/>
                <w:color w:val="auto"/>
              </w:rPr>
            </w:pPr>
            <w:r>
              <w:rPr>
                <w:rFonts w:ascii="Arial" w:cs="Arial" w:eastAsia="Arial" w:hAnsi="Arial"/>
                <w:sz w:val="14"/>
                <w:szCs w:val="14"/>
                <w:b w:val="1"/>
                <w:bCs w:val="1"/>
                <w:color w:val="auto"/>
              </w:rPr>
              <w:t>Descriptions</w:t>
            </w:r>
          </w:p>
        </w:tc>
      </w:tr>
      <w:tr>
        <w:trPr>
          <w:trHeight w:val="202"/>
        </w:trPr>
        <w:tc>
          <w:tcPr>
            <w:tcW w:w="1160" w:type="dxa"/>
            <w:vAlign w:val="bottom"/>
            <w:tcBorders>
              <w:top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120" w:type="dxa"/>
            <w:vAlign w:val="bottom"/>
            <w:tcBorders>
              <w:top w:val="single" w:sz="8" w:color="auto"/>
            </w:tcBorders>
            <w:gridSpan w:val="13"/>
            <w:shd w:val="clear" w:color="auto" w:fill="CCEEFF"/>
          </w:tcPr>
          <w:p>
            <w:pPr>
              <w:spacing w:after="0" w:line="202" w:lineRule="exact"/>
              <w:rPr>
                <w:rFonts w:ascii="Arial" w:cs="Arial" w:eastAsia="Arial" w:hAnsi="Arial"/>
                <w:sz w:val="18"/>
                <w:szCs w:val="18"/>
                <w:color w:val="0000FF"/>
                <w:w w:val="94"/>
              </w:rPr>
            </w:pPr>
            <w:hyperlink r:id="rId14">
              <w:r>
                <w:rPr>
                  <w:rFonts w:ascii="Arial" w:cs="Arial" w:eastAsia="Arial" w:hAnsi="Arial"/>
                  <w:sz w:val="18"/>
                  <w:szCs w:val="18"/>
                  <w:color w:val="0000FF"/>
                  <w:w w:val="94"/>
                </w:rPr>
                <w:t>Amended and Restated Certificate of Incorporation of Aviat Networks, Inc., as amended (incorporated by reference to Exhibit 3.1 to the</w:t>
              </w:r>
            </w:hyperlink>
          </w:p>
        </w:tc>
      </w:tr>
      <w:tr>
        <w:trPr>
          <w:trHeight w:val="244"/>
        </w:trPr>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70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Current Report on Form 10-Q filed with the SEC on February 10, 2017, File No. 001-33278)</w:t>
              </w:r>
            </w:hyperlink>
          </w:p>
        </w:tc>
        <w:tc>
          <w:tcPr>
            <w:tcW w:w="308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340" w:type="dxa"/>
            <w:vAlign w:val="bottom"/>
            <w:tcBorders>
              <w:top w:val="single" w:sz="8" w:color="CCEEFF"/>
              <w:bottom w:val="single" w:sz="8" w:color="CCEEFF"/>
            </w:tcBorders>
            <w:gridSpan w:val="4"/>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202" w:lineRule="exact"/>
              <w:rPr>
                <w:rFonts w:ascii="Arial" w:cs="Arial" w:eastAsia="Arial" w:hAnsi="Arial"/>
                <w:sz w:val="18"/>
                <w:szCs w:val="18"/>
                <w:color w:val="0000FF"/>
                <w:w w:val="93"/>
              </w:rPr>
            </w:pPr>
            <w:hyperlink r:id="rId15">
              <w:r>
                <w:rPr>
                  <w:rFonts w:ascii="Arial" w:cs="Arial" w:eastAsia="Arial" w:hAnsi="Arial"/>
                  <w:sz w:val="18"/>
                  <w:szCs w:val="18"/>
                  <w:color w:val="0000FF"/>
                  <w:w w:val="93"/>
                </w:rPr>
                <w:t>Amended and Restated Bylaws of Aviat Networks, Inc. (incorporated by reference to Exhibit 3.2 to the Current Report on Form 8-K filed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with the SEC on October 2, 2015, File No. 001-33278)</w:t>
              </w:r>
            </w:hyperlink>
          </w:p>
        </w:tc>
        <w:tc>
          <w:tcPr>
            <w:tcW w:w="220" w:type="dxa"/>
            <w:vAlign w:val="bottom"/>
            <w:gridSpan w:val="3"/>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0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Tax Benefit Preservation Plan, dated as of September 6, 2016, by and between Aviat Networks, Inc. and Computershare Inc., as Rights</w:t>
              </w:r>
            </w:hyperlink>
          </w:p>
        </w:tc>
        <w:tc>
          <w:tcPr>
            <w:tcW w:w="42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Agent (incorporated by reference to Exhibit 4.1 to the Current Report on Form 8-K filed with the SEC on September 7, 2016, File No. 011-</w:t>
              </w:r>
            </w:hyperlink>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0" w:type="dxa"/>
            <w:vAlign w:val="bottom"/>
            <w:gridSpan w:val="3"/>
            <w:shd w:val="clear" w:color="auto" w:fill="CCEEFF"/>
          </w:tcPr>
          <w:p>
            <w:pPr>
              <w:ind w:left="40"/>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33278)</w:t>
              </w:r>
            </w:hyperlink>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bottom w:val="single" w:sz="8" w:color="0000FF"/>
            </w:tcBorders>
            <w:gridSpan w:val="11"/>
          </w:tcPr>
          <w:p>
            <w:pPr>
              <w:spacing w:after="0" w:line="202"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Aviat Networks, Inc. 2018 Incentive Plan (incorporated by reference to Appendix A to the Registrant’s Proxy Statement on Schedule 14A</w:t>
              </w:r>
            </w:hyperlink>
          </w:p>
        </w:tc>
        <w:tc>
          <w:tcPr>
            <w:tcW w:w="20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filed with the SEC on February 12, 2018, File No. 001-33278)</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2"/>
              </w:rPr>
            </w:pPr>
            <w:hyperlink w:anchor="page36">
              <w:r>
                <w:rPr>
                  <w:rFonts w:ascii="Arial" w:cs="Arial" w:eastAsia="Arial" w:hAnsi="Arial"/>
                  <w:sz w:val="18"/>
                  <w:szCs w:val="18"/>
                  <w:color w:val="0000FF"/>
                  <w:w w:val="92"/>
                </w:rPr>
                <w:t>Rule 13a-14(a)/15d-14(a) Certification of Chief Executive Officer</w:t>
              </w:r>
            </w:hyperlink>
          </w:p>
        </w:tc>
        <w:tc>
          <w:tcPr>
            <w:tcW w:w="536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Rule 13a-14(a)/15d-14(a) Certification of Principal Financial Officer</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3"/>
              </w:rPr>
            </w:pPr>
            <w:hyperlink w:anchor="page38">
              <w:r>
                <w:rPr>
                  <w:rFonts w:ascii="Arial" w:cs="Arial" w:eastAsia="Arial" w:hAnsi="Arial"/>
                  <w:sz w:val="18"/>
                  <w:szCs w:val="18"/>
                  <w:color w:val="0000FF"/>
                  <w:w w:val="93"/>
                </w:rPr>
                <w:t>Section 1350 Certification of Chief Executive Officer and Principal Financial Officer</w:t>
              </w:r>
            </w:hyperlink>
          </w:p>
        </w:tc>
        <w:tc>
          <w:tcPr>
            <w:tcW w:w="3980" w:type="dxa"/>
            <w:vAlign w:val="bottom"/>
            <w:tcBorders>
              <w:bottom w:val="single" w:sz="8" w:color="CCEEFF"/>
            </w:tcBorders>
            <w:gridSpan w:val="7"/>
            <w:shd w:val="clear" w:color="auto" w:fill="CCEEFF"/>
          </w:tcPr>
          <w:p>
            <w:pPr>
              <w:spacing w:after="0"/>
              <w:rPr>
                <w:sz w:val="21"/>
                <w:szCs w:val="21"/>
                <w:color w:val="auto"/>
              </w:rPr>
            </w:pP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1"/>
                <w:szCs w:val="21"/>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1"/>
                <w:szCs w:val="21"/>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1"/>
                <w:szCs w:val="21"/>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5"/>
          </w:tcPr>
          <w:p>
            <w:pPr>
              <w:jc w:val="right"/>
              <w:ind w:right="188"/>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106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Walter Stanley Gallagher, Jr.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 Chief Operating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Eric Chang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Vice President, Corporate Controller and Principal Accounting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9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28, 2018,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February 11, 2019</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Walter Stanley Gallagher, Jr.,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28, 2018,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February 11, 2019</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 Walter Stanley Gallagher, Jr.</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660" w:type="dxa"/>
            <w:vAlign w:val="bottom"/>
          </w:tcPr>
          <w:p>
            <w:pPr>
              <w:ind w:left="200"/>
              <w:spacing w:after="0"/>
              <w:rPr>
                <w:sz w:val="20"/>
                <w:szCs w:val="20"/>
                <w:color w:val="auto"/>
              </w:rPr>
            </w:pPr>
            <w:r>
              <w:rPr>
                <w:rFonts w:ascii="Arial" w:cs="Arial" w:eastAsia="Arial" w:hAnsi="Arial"/>
                <w:sz w:val="18"/>
                <w:szCs w:val="18"/>
                <w:color w:val="auto"/>
              </w:rPr>
              <w:t>Walter Stanley Gallagher, Jr.</w:t>
            </w:r>
          </w:p>
        </w:tc>
      </w:tr>
      <w:tr>
        <w:trPr>
          <w:trHeight w:val="256"/>
        </w:trPr>
        <w:tc>
          <w:tcPr>
            <w:tcW w:w="568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200"/>
              <w:spacing w:after="0"/>
              <w:rPr>
                <w:sz w:val="20"/>
                <w:szCs w:val="20"/>
                <w:color w:val="auto"/>
              </w:rPr>
            </w:pPr>
            <w:r>
              <w:rPr>
                <w:rFonts w:ascii="Arial" w:cs="Arial" w:eastAsia="Arial" w:hAnsi="Arial"/>
                <w:sz w:val="18"/>
                <w:szCs w:val="18"/>
                <w:color w:val="auto"/>
                <w:w w:val="93"/>
              </w:rPr>
              <w:t>Senior Vice President and Chief Operating Officer, Principal</w:t>
            </w:r>
          </w:p>
        </w:tc>
      </w:tr>
      <w:tr>
        <w:trPr>
          <w:trHeight w:val="230"/>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CERTIFICATIONS OF CHIEF EXECUTIVE OFFICER AND</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PRINCIPAL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TITLE 18 OF THE UNITED STATES CODE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December 28, 2018, as filed with the Securities and Exchange Commission on the date hereof (the “Report”), we, Michael A. Pangia, President and Chief Executive Officer of Aviat Networks, and Walter Stanley Gallagher, Jr., Senior Vice President and Chief Operating Officer, Principal Financial Officer of Aviat Networks, hereby certify, pursuant to Section 906 of the Sarbanes-Oxley Act of 2002, 18 U.S.C. §1350, that:</w:t>
      </w:r>
    </w:p>
    <w:p>
      <w:pPr>
        <w:spacing w:after="0" w:line="14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February 11, 2019</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11, 2019</w:t>
      </w:r>
    </w:p>
    <w:p>
      <w:pPr>
        <w:ind w:left="6080"/>
        <w:spacing w:after="0"/>
        <w:rPr>
          <w:sz w:val="20"/>
          <w:szCs w:val="20"/>
          <w:color w:val="auto"/>
        </w:rPr>
      </w:pPr>
      <w:r>
        <w:rPr>
          <w:rFonts w:ascii="Arial" w:cs="Arial" w:eastAsia="Arial" w:hAnsi="Arial"/>
          <w:sz w:val="18"/>
          <w:szCs w:val="18"/>
          <w:color w:val="auto"/>
        </w:rPr>
        <w:t>/s/ 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Walter Stanley Gallagher, Jr.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and Chief Operating Officer, Principal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14" Type="http://schemas.openxmlformats.org/officeDocument/2006/relationships/hyperlink" Target="http://www.sec.gov/Archives/edgar/data/1377789/000137778917000022/avnwexhibit31amendedandres.htm" TargetMode="External"/><Relationship Id="rId15" Type="http://schemas.openxmlformats.org/officeDocument/2006/relationships/hyperlink" Target="http://www.sec.gov/Archives/edgar/data/1377789/000137778915000082/exhibit_aviatamendedandres.htm" TargetMode="External"/><Relationship Id="rId16" Type="http://schemas.openxmlformats.org/officeDocument/2006/relationships/hyperlink" Target="http://www.sec.gov/Archives/edgar/data/1377789/000119312516702547/d254391dex41.htm" TargetMode="External"/><Relationship Id="rId17" Type="http://schemas.openxmlformats.org/officeDocument/2006/relationships/hyperlink" Target="http://www.sec.gov/Archives/edgar/data/1377789/000137778918000016/aviatannualproxyfy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2019-12-28T16:51:03Z</dcterms:created>
  <dcterms:modified xsi:type="dcterms:W3CDTF">2019-12-28T16:51:03Z</dcterms:modified>
</cp:coreProperties>
</file>