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1"/>
          <w:szCs w:val="11"/>
          <w:b w:val="1"/>
          <w:bCs w:val="1"/>
          <w:color w:val="auto"/>
        </w:rPr>
        <w:t>________________________________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500" w:right="42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March 30, 2018</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500" w:right="400" w:hanging="451"/>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5"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For the transition period from _______ to _______</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001-33278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414020</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AVIAT NETWORKS,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99060</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93" w:lineRule="exact"/>
        <w:rPr>
          <w:sz w:val="24"/>
          <w:szCs w:val="24"/>
          <w:color w:val="auto"/>
        </w:rPr>
      </w:pPr>
    </w:p>
    <w:tbl>
      <w:tblPr>
        <w:tblLayout w:type="fixed"/>
        <w:tblInd w:w="720" w:type="dxa"/>
        <w:tblCellMar>
          <w:top w:w="0" w:type="dxa"/>
          <w:left w:w="0" w:type="dxa"/>
          <w:bottom w:w="0" w:type="dxa"/>
          <w:right w:w="0" w:type="dxa"/>
        </w:tblCellMar>
      </w:tblPr>
      <w:tr>
        <w:trPr>
          <w:trHeight w:val="234"/>
        </w:trPr>
        <w:tc>
          <w:tcPr>
            <w:tcW w:w="5480" w:type="dxa"/>
            <w:vAlign w:val="bottom"/>
          </w:tcPr>
          <w:p>
            <w:pPr>
              <w:jc w:val="center"/>
              <w:ind w:right="1214"/>
              <w:spacing w:after="0"/>
              <w:rPr>
                <w:sz w:val="20"/>
                <w:szCs w:val="20"/>
                <w:color w:val="auto"/>
              </w:rPr>
            </w:pPr>
            <w:r>
              <w:rPr>
                <w:rFonts w:ascii="Arial" w:cs="Arial" w:eastAsia="Arial" w:hAnsi="Arial"/>
                <w:sz w:val="18"/>
                <w:szCs w:val="18"/>
                <w:b w:val="1"/>
                <w:bCs w:val="1"/>
                <w:color w:val="auto"/>
                <w:w w:val="93"/>
              </w:rPr>
              <w:t>Delaware</w:t>
            </w:r>
          </w:p>
        </w:tc>
        <w:tc>
          <w:tcPr>
            <w:tcW w:w="3780" w:type="dxa"/>
            <w:vAlign w:val="bottom"/>
          </w:tcPr>
          <w:p>
            <w:pPr>
              <w:jc w:val="right"/>
              <w:ind w:right="714"/>
              <w:spacing w:after="0"/>
              <w:rPr>
                <w:sz w:val="20"/>
                <w:szCs w:val="20"/>
                <w:color w:val="auto"/>
              </w:rPr>
            </w:pPr>
            <w:r>
              <w:rPr>
                <w:rFonts w:ascii="Arial" w:cs="Arial" w:eastAsia="Arial" w:hAnsi="Arial"/>
                <w:sz w:val="18"/>
                <w:szCs w:val="18"/>
                <w:b w:val="1"/>
                <w:bCs w:val="1"/>
                <w:color w:val="auto"/>
              </w:rPr>
              <w:t>20-5961564</w:t>
            </w:r>
          </w:p>
        </w:tc>
      </w:tr>
      <w:tr>
        <w:trPr>
          <w:trHeight w:val="251"/>
        </w:trPr>
        <w:tc>
          <w:tcPr>
            <w:tcW w:w="5480" w:type="dxa"/>
            <w:vAlign w:val="bottom"/>
          </w:tcPr>
          <w:p>
            <w:pPr>
              <w:jc w:val="center"/>
              <w:ind w:right="1214"/>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3780" w:type="dxa"/>
            <w:vAlign w:val="bottom"/>
          </w:tcPr>
          <w:p>
            <w:pPr>
              <w:jc w:val="center"/>
              <w:ind w:left="1214"/>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398"/>
        </w:trPr>
        <w:tc>
          <w:tcPr>
            <w:tcW w:w="5480" w:type="dxa"/>
            <w:vAlign w:val="bottom"/>
          </w:tcPr>
          <w:p>
            <w:pPr>
              <w:jc w:val="center"/>
              <w:ind w:right="1214"/>
              <w:spacing w:after="0"/>
              <w:rPr>
                <w:sz w:val="20"/>
                <w:szCs w:val="20"/>
                <w:color w:val="auto"/>
              </w:rPr>
            </w:pPr>
            <w:r>
              <w:rPr>
                <w:rFonts w:ascii="Arial" w:cs="Arial" w:eastAsia="Arial" w:hAnsi="Arial"/>
                <w:sz w:val="18"/>
                <w:szCs w:val="18"/>
                <w:b w:val="1"/>
                <w:bCs w:val="1"/>
                <w:color w:val="auto"/>
                <w:w w:val="93"/>
              </w:rPr>
              <w:t>860 N. McCarthy Blvd., Suite 200, Milpitas, California</w:t>
            </w:r>
          </w:p>
        </w:tc>
        <w:tc>
          <w:tcPr>
            <w:tcW w:w="3780" w:type="dxa"/>
            <w:vAlign w:val="bottom"/>
          </w:tcPr>
          <w:p>
            <w:pPr>
              <w:jc w:val="right"/>
              <w:ind w:right="934"/>
              <w:spacing w:after="0"/>
              <w:rPr>
                <w:sz w:val="20"/>
                <w:szCs w:val="20"/>
                <w:color w:val="auto"/>
              </w:rPr>
            </w:pPr>
            <w:r>
              <w:rPr>
                <w:rFonts w:ascii="Arial" w:cs="Arial" w:eastAsia="Arial" w:hAnsi="Arial"/>
                <w:sz w:val="18"/>
                <w:szCs w:val="18"/>
                <w:b w:val="1"/>
                <w:bCs w:val="1"/>
                <w:color w:val="auto"/>
              </w:rPr>
              <w:t>95035</w:t>
            </w:r>
          </w:p>
        </w:tc>
      </w:tr>
      <w:tr>
        <w:trPr>
          <w:trHeight w:val="251"/>
        </w:trPr>
        <w:tc>
          <w:tcPr>
            <w:tcW w:w="5480" w:type="dxa"/>
            <w:vAlign w:val="bottom"/>
          </w:tcPr>
          <w:p>
            <w:pPr>
              <w:jc w:val="center"/>
              <w:ind w:right="1194"/>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3780" w:type="dxa"/>
            <w:vAlign w:val="bottom"/>
          </w:tcPr>
          <w:p>
            <w:pPr>
              <w:jc w:val="center"/>
              <w:ind w:left="1214"/>
              <w:spacing w:after="0"/>
              <w:rPr>
                <w:sz w:val="20"/>
                <w:szCs w:val="20"/>
                <w:color w:val="auto"/>
              </w:rPr>
            </w:pPr>
            <w:r>
              <w:rPr>
                <w:rFonts w:ascii="Arial" w:cs="Arial" w:eastAsia="Arial" w:hAnsi="Arial"/>
                <w:sz w:val="16"/>
                <w:szCs w:val="16"/>
                <w:b w:val="1"/>
                <w:bCs w:val="1"/>
                <w:color w:val="auto"/>
                <w:w w:val="96"/>
              </w:rPr>
              <w:t>(Zip Code)</w:t>
            </w:r>
          </w:p>
        </w:tc>
      </w:tr>
    </w:tbl>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(408) 941-7100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 changes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ind w:left="4760"/>
        <w:spacing w:after="0"/>
        <w:rPr>
          <w:sz w:val="20"/>
          <w:szCs w:val="20"/>
          <w:color w:val="auto"/>
        </w:rPr>
      </w:pPr>
      <w:r>
        <w:rPr>
          <w:rFonts w:ascii="Arial" w:cs="Arial" w:eastAsia="Arial" w:hAnsi="Arial"/>
          <w:sz w:val="14"/>
          <w:szCs w:val="14"/>
          <w:color w:val="auto"/>
        </w:rPr>
        <w:t>__________________________</w:t>
      </w:r>
    </w:p>
    <w:p>
      <w:pPr>
        <w:spacing w:after="0" w:line="9" w:lineRule="exact"/>
        <w:rPr>
          <w:sz w:val="24"/>
          <w:szCs w:val="24"/>
          <w:color w:val="auto"/>
        </w:rPr>
      </w:pPr>
    </w:p>
    <w:p>
      <w:pPr>
        <w:ind w:right="520"/>
        <w:spacing w:after="0" w:line="222" w:lineRule="exact"/>
        <w:rPr>
          <w:sz w:val="20"/>
          <w:szCs w:val="20"/>
          <w:color w:val="auto"/>
        </w:rPr>
      </w:pPr>
      <w:r>
        <w:rPr>
          <w:rFonts w:ascii="Arial" w:cs="Arial" w:eastAsia="Arial" w:hAnsi="Arial"/>
          <w:sz w:val="18"/>
          <w:szCs w:val="18"/>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76"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680" w:type="dxa"/>
            <w:vAlign w:val="bottom"/>
          </w:tcPr>
          <w:p>
            <w:pPr>
              <w:ind w:left="400"/>
              <w:spacing w:after="0"/>
              <w:rPr>
                <w:sz w:val="20"/>
                <w:szCs w:val="20"/>
                <w:color w:val="auto"/>
              </w:rPr>
            </w:pPr>
            <w:r>
              <w:rPr>
                <w:rFonts w:ascii="Arial" w:cs="Arial" w:eastAsia="Arial" w:hAnsi="Arial"/>
                <w:sz w:val="18"/>
                <w:szCs w:val="18"/>
                <w:color w:val="auto"/>
              </w:rPr>
              <w:t>o</w:t>
            </w:r>
          </w:p>
        </w:tc>
        <w:tc>
          <w:tcPr>
            <w:tcW w:w="3340" w:type="dxa"/>
            <w:vAlign w:val="bottom"/>
          </w:tcPr>
          <w:p>
            <w:pPr>
              <w:ind w:left="76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o</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Non-accelerated filer</w:t>
            </w:r>
          </w:p>
        </w:tc>
        <w:tc>
          <w:tcPr>
            <w:tcW w:w="4680" w:type="dxa"/>
            <w:vAlign w:val="bottom"/>
          </w:tcPr>
          <w:p>
            <w:pPr>
              <w:ind w:left="400"/>
              <w:spacing w:after="0"/>
              <w:rPr>
                <w:sz w:val="20"/>
                <w:szCs w:val="20"/>
                <w:color w:val="auto"/>
              </w:rPr>
            </w:pPr>
            <w:r>
              <w:rPr>
                <w:rFonts w:ascii="Arial" w:cs="Arial" w:eastAsia="Arial" w:hAnsi="Arial"/>
                <w:sz w:val="18"/>
                <w:szCs w:val="18"/>
                <w:color w:val="auto"/>
              </w:rPr>
              <w:t>x (Do not check if a smaller reporting company)</w:t>
            </w:r>
          </w:p>
        </w:tc>
        <w:tc>
          <w:tcPr>
            <w:tcW w:w="3340" w:type="dxa"/>
            <w:vAlign w:val="bottom"/>
          </w:tcPr>
          <w:p>
            <w:pPr>
              <w:ind w:left="76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o</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680" w:type="dxa"/>
            <w:vAlign w:val="bottom"/>
          </w:tcPr>
          <w:p>
            <w:pPr>
              <w:ind w:left="400"/>
              <w:spacing w:after="0"/>
              <w:rPr>
                <w:sz w:val="20"/>
                <w:szCs w:val="20"/>
                <w:color w:val="auto"/>
              </w:rPr>
            </w:pPr>
            <w:r>
              <w:rPr>
                <w:rFonts w:ascii="Arial" w:cs="Arial" w:eastAsia="Arial" w:hAnsi="Arial"/>
                <w:sz w:val="18"/>
                <w:szCs w:val="18"/>
                <w:color w:val="auto"/>
              </w:rPr>
              <w:t>o</w:t>
            </w:r>
          </w:p>
        </w:tc>
        <w:tc>
          <w:tcPr>
            <w:tcW w:w="3340" w:type="dxa"/>
            <w:vAlign w:val="bottom"/>
          </w:tcPr>
          <w:p>
            <w:pPr>
              <w:spacing w:after="0"/>
              <w:rPr>
                <w:sz w:val="23"/>
                <w:szCs w:val="23"/>
                <w:color w:val="auto"/>
              </w:rPr>
            </w:pPr>
          </w:p>
        </w:tc>
        <w:tc>
          <w:tcPr>
            <w:tcW w:w="700" w:type="dxa"/>
            <w:vAlign w:val="bottom"/>
          </w:tcPr>
          <w:p>
            <w:pPr>
              <w:spacing w:after="0"/>
              <w:rPr>
                <w:sz w:val="23"/>
                <w:szCs w:val="23"/>
                <w:color w:val="auto"/>
              </w:rPr>
            </w:pPr>
          </w:p>
        </w:tc>
      </w:tr>
    </w:tbl>
    <w:p>
      <w:pPr>
        <w:spacing w:after="0" w:line="12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r>
        <w:rPr>
          <w:rFonts w:ascii="MS PGothic" w:cs="MS PGothic" w:eastAsia="MS PGothic" w:hAnsi="MS PGothic"/>
          <w:sz w:val="18"/>
          <w:szCs w:val="18"/>
          <w:color w:val="auto"/>
        </w:rPr>
        <w:t>☐</w:t>
      </w:r>
    </w:p>
    <w:p>
      <w:pPr>
        <w:spacing w:after="0" w:line="74" w:lineRule="exact"/>
        <w:rPr>
          <w:sz w:val="24"/>
          <w:szCs w:val="24"/>
          <w:color w:val="auto"/>
        </w:rPr>
      </w:pPr>
    </w:p>
    <w:p>
      <w:pPr>
        <w:ind w:right="2040"/>
        <w:spacing w:after="0" w:line="440" w:lineRule="auto"/>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 No x The number of shares outstanding of the registrant’s Common Stock as of April 30, 2018 was 5,349,309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3"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30, 2018</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r>
      <w:tr>
        <w:trPr>
          <w:trHeight w:val="250"/>
        </w:trPr>
        <w:tc>
          <w:tcPr>
            <w:tcW w:w="10460" w:type="dxa"/>
            <w:vAlign w:val="bottom"/>
            <w:tcBorders>
              <w:bottom w:val="single" w:sz="8" w:color="CCEEFF"/>
            </w:tcBorders>
            <w:shd w:val="clear" w:color="auto" w:fill="CCEEFF"/>
          </w:tcPr>
          <w:p>
            <w:pPr>
              <w:ind w:left="2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Financial Information</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3">
              <w:r>
                <w:rPr>
                  <w:rFonts w:ascii="Arial" w:cs="Arial" w:eastAsia="Arial" w:hAnsi="Arial"/>
                  <w:sz w:val="18"/>
                  <w:szCs w:val="18"/>
                  <w:color w:val="auto"/>
                </w:rPr>
                <w:t>Item 1. Financial Statements</w:t>
              </w:r>
            </w:hyperlink>
          </w:p>
        </w:tc>
        <w:tc>
          <w:tcPr>
            <w:tcW w:w="5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
              <w:r>
                <w:rPr>
                  <w:rFonts w:ascii="Arial" w:cs="Arial" w:eastAsia="Arial" w:hAnsi="Arial"/>
                  <w:sz w:val="18"/>
                  <w:szCs w:val="18"/>
                  <w:color w:val="auto"/>
                </w:rPr>
                <w:t>Condensed Consolidated Balance Sheets (Unaudited)</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4">
              <w:r>
                <w:rPr>
                  <w:rFonts w:ascii="Arial" w:cs="Arial" w:eastAsia="Arial" w:hAnsi="Arial"/>
                  <w:sz w:val="18"/>
                  <w:szCs w:val="18"/>
                  <w:color w:val="auto"/>
                </w:rPr>
                <w:t>Condensed Consolidated Statements of Operations (Unaudited)</w:t>
              </w:r>
            </w:hyperlink>
          </w:p>
        </w:tc>
        <w:tc>
          <w:tcPr>
            <w:tcW w:w="5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Condensed Consolidated Statements of Comprehensive (Loss) Income (Unaudited)</w:t>
            </w:r>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6">
              <w:r>
                <w:rPr>
                  <w:rFonts w:ascii="Arial" w:cs="Arial" w:eastAsia="Arial" w:hAnsi="Arial"/>
                  <w:sz w:val="18"/>
                  <w:szCs w:val="18"/>
                  <w:color w:val="auto"/>
                </w:rPr>
                <w:t>Condensed Consolidated Statements of Cash Flows (Unaudited)</w:t>
              </w:r>
            </w:hyperlink>
          </w:p>
        </w:tc>
        <w:tc>
          <w:tcPr>
            <w:tcW w:w="54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7">
              <w:r>
                <w:rPr>
                  <w:rFonts w:ascii="Arial" w:cs="Arial" w:eastAsia="Arial" w:hAnsi="Arial"/>
                  <w:sz w:val="18"/>
                  <w:szCs w:val="18"/>
                  <w:color w:val="auto"/>
                </w:rPr>
                <w:t>Notes to Condensed Consolidated Financial Statements (Unaudited)</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20">
              <w:r>
                <w:rPr>
                  <w:rFonts w:ascii="Arial" w:cs="Arial" w:eastAsia="Arial" w:hAnsi="Arial"/>
                  <w:sz w:val="18"/>
                  <w:szCs w:val="18"/>
                  <w:color w:val="auto"/>
                </w:rPr>
                <w:t>Item 2. Management’s Discussion and Analysis of Financial Condition and Results of Operations</w:t>
              </w:r>
            </w:hyperlink>
          </w:p>
        </w:tc>
        <w:tc>
          <w:tcPr>
            <w:tcW w:w="54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20</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27">
              <w:r>
                <w:rPr>
                  <w:rFonts w:ascii="Arial" w:cs="Arial" w:eastAsia="Arial" w:hAnsi="Arial"/>
                  <w:sz w:val="18"/>
                  <w:szCs w:val="18"/>
                  <w:color w:val="auto"/>
                </w:rPr>
                <w:t>Item 3. Quantitative and Qualitative Disclosures About Market Risk</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26</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28">
              <w:r>
                <w:rPr>
                  <w:rFonts w:ascii="Arial" w:cs="Arial" w:eastAsia="Arial" w:hAnsi="Arial"/>
                  <w:sz w:val="18"/>
                  <w:szCs w:val="18"/>
                  <w:color w:val="auto"/>
                </w:rPr>
                <w:t>Item 4. Controls and Procedures</w:t>
              </w:r>
            </w:hyperlink>
          </w:p>
        </w:tc>
        <w:tc>
          <w:tcPr>
            <w:tcW w:w="54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27</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20"/>
              <w:spacing w:after="0"/>
              <w:rPr>
                <w:rFonts w:ascii="Arial" w:cs="Arial" w:eastAsia="Arial" w:hAnsi="Arial"/>
                <w:sz w:val="18"/>
                <w:szCs w:val="18"/>
                <w:b w:val="1"/>
                <w:bCs w:val="1"/>
                <w:color w:val="auto"/>
              </w:rPr>
            </w:pPr>
            <w:hyperlink w:anchor="page30">
              <w:r>
                <w:rPr>
                  <w:rFonts w:ascii="Arial" w:cs="Arial" w:eastAsia="Arial" w:hAnsi="Arial"/>
                  <w:sz w:val="18"/>
                  <w:szCs w:val="18"/>
                  <w:b w:val="1"/>
                  <w:bCs w:val="1"/>
                  <w:color w:val="auto"/>
                </w:rPr>
                <w:t>Part II. Other Information</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30">
              <w:r>
                <w:rPr>
                  <w:rFonts w:ascii="Arial" w:cs="Arial" w:eastAsia="Arial" w:hAnsi="Arial"/>
                  <w:sz w:val="18"/>
                  <w:szCs w:val="18"/>
                  <w:color w:val="auto"/>
                </w:rPr>
                <w:t>Item 1. Legal Proceedings</w:t>
              </w:r>
            </w:hyperlink>
          </w:p>
        </w:tc>
        <w:tc>
          <w:tcPr>
            <w:tcW w:w="5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0">
              <w:r>
                <w:rPr>
                  <w:rFonts w:ascii="Arial" w:cs="Arial" w:eastAsia="Arial" w:hAnsi="Arial"/>
                  <w:sz w:val="18"/>
                  <w:szCs w:val="18"/>
                  <w:color w:val="auto"/>
                </w:rPr>
                <w:t>Item 1A. Risk Factors</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30">
              <w:r>
                <w:rPr>
                  <w:rFonts w:ascii="Arial" w:cs="Arial" w:eastAsia="Arial" w:hAnsi="Arial"/>
                  <w:sz w:val="18"/>
                  <w:szCs w:val="18"/>
                  <w:color w:val="auto"/>
                </w:rPr>
                <w:t>Item 2. Unregistered Sales of Equity Securities and Use of Proceeds</w:t>
              </w:r>
            </w:hyperlink>
          </w:p>
        </w:tc>
        <w:tc>
          <w:tcPr>
            <w:tcW w:w="5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0">
              <w:r>
                <w:rPr>
                  <w:rFonts w:ascii="Arial" w:cs="Arial" w:eastAsia="Arial" w:hAnsi="Arial"/>
                  <w:sz w:val="18"/>
                  <w:szCs w:val="18"/>
                  <w:color w:val="auto"/>
                </w:rPr>
                <w:t>Item 3. Defaults upon Senior Securities</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30">
              <w:r>
                <w:rPr>
                  <w:rFonts w:ascii="Arial" w:cs="Arial" w:eastAsia="Arial" w:hAnsi="Arial"/>
                  <w:sz w:val="18"/>
                  <w:szCs w:val="18"/>
                  <w:color w:val="auto"/>
                </w:rPr>
                <w:t>Item 4. Mine Safety Disclosures</w:t>
              </w:r>
            </w:hyperlink>
          </w:p>
        </w:tc>
        <w:tc>
          <w:tcPr>
            <w:tcW w:w="5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0">
              <w:r>
                <w:rPr>
                  <w:rFonts w:ascii="Arial" w:cs="Arial" w:eastAsia="Arial" w:hAnsi="Arial"/>
                  <w:sz w:val="18"/>
                  <w:szCs w:val="18"/>
                  <w:color w:val="auto"/>
                </w:rPr>
                <w:t>Item 5. Other Information</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30">
              <w:r>
                <w:rPr>
                  <w:rFonts w:ascii="Arial" w:cs="Arial" w:eastAsia="Arial" w:hAnsi="Arial"/>
                  <w:sz w:val="18"/>
                  <w:szCs w:val="18"/>
                  <w:color w:val="auto"/>
                </w:rPr>
                <w:t>Item 6. Exhibits</w:t>
              </w:r>
            </w:hyperlink>
          </w:p>
        </w:tc>
        <w:tc>
          <w:tcPr>
            <w:tcW w:w="5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20"/>
              <w:spacing w:after="0"/>
              <w:rPr>
                <w:rFonts w:ascii="Arial" w:cs="Arial" w:eastAsia="Arial" w:hAnsi="Arial"/>
                <w:sz w:val="18"/>
                <w:szCs w:val="18"/>
                <w:b w:val="1"/>
                <w:bCs w:val="1"/>
                <w:color w:val="auto"/>
              </w:rPr>
            </w:pPr>
            <w:hyperlink w:anchor="page31">
              <w:r>
                <w:rPr>
                  <w:rFonts w:ascii="Arial" w:cs="Arial" w:eastAsia="Arial" w:hAnsi="Arial"/>
                  <w:sz w:val="18"/>
                  <w:szCs w:val="18"/>
                  <w:b w:val="1"/>
                  <w:bCs w:val="1"/>
                  <w:color w:val="auto"/>
                </w:rPr>
                <w:t>Signature</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30</w:t>
              </w:r>
            </w:hyperlink>
          </w:p>
        </w:tc>
      </w:tr>
      <w:tr>
        <w:trPr>
          <w:trHeight w:val="243"/>
        </w:trPr>
        <w:tc>
          <w:tcPr>
            <w:tcW w:w="10460" w:type="dxa"/>
            <w:vAlign w:val="bottom"/>
          </w:tcPr>
          <w:p>
            <w:pPr>
              <w:ind w:left="20"/>
              <w:spacing w:after="0"/>
              <w:rPr>
                <w:rFonts w:ascii="Arial" w:cs="Arial" w:eastAsia="Arial" w:hAnsi="Arial"/>
                <w:sz w:val="18"/>
                <w:szCs w:val="18"/>
                <w:b w:val="1"/>
                <w:bCs w:val="1"/>
                <w:color w:val="auto"/>
              </w:rPr>
            </w:pPr>
            <w:hyperlink w:anchor="page32">
              <w:r>
                <w:rPr>
                  <w:rFonts w:ascii="Arial" w:cs="Arial" w:eastAsia="Arial" w:hAnsi="Arial"/>
                  <w:sz w:val="18"/>
                  <w:szCs w:val="18"/>
                  <w:b w:val="1"/>
                  <w:bCs w:val="1"/>
                  <w:color w:val="auto"/>
                </w:rPr>
                <w:t>Exhibit Index</w:t>
              </w:r>
            </w:hyperlink>
          </w:p>
        </w:tc>
        <w:tc>
          <w:tcPr>
            <w:tcW w:w="54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31</w:t>
              </w:r>
            </w:hyperlink>
          </w:p>
        </w:tc>
      </w:tr>
      <w:tr>
        <w:trPr>
          <w:trHeight w:val="486"/>
        </w:trPr>
        <w:tc>
          <w:tcPr>
            <w:tcW w:w="10460" w:type="dxa"/>
            <w:vAlign w:val="bottom"/>
          </w:tcPr>
          <w:p>
            <w:pPr>
              <w:ind w:left="544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4"/>
                <w:szCs w:val="24"/>
                <w:color w:val="auto"/>
              </w:rPr>
            </w:pPr>
          </w:p>
        </w:tc>
      </w:tr>
    </w:tbl>
    <w:p>
      <w:pPr>
        <w:sectPr>
          <w:pgSz w:w="11900" w:h="16838" w:orient="portrait"/>
          <w:cols w:equalWidth="0" w:num="1">
            <w:col w:w="11000"/>
          </w:cols>
          <w:pgMar w:left="460" w:top="580" w:right="4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7300" w:type="dxa"/>
            <w:vAlign w:val="bottom"/>
          </w:tcPr>
          <w:p>
            <w:pPr>
              <w:jc w:val="center"/>
              <w:ind w:left="149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4"/>
        </w:trPr>
        <w:tc>
          <w:tcPr>
            <w:tcW w:w="12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300" w:type="dxa"/>
            <w:vAlign w:val="bottom"/>
          </w:tcPr>
          <w:p>
            <w:pPr>
              <w:jc w:val="center"/>
              <w:ind w:right="5550"/>
              <w:spacing w:after="0"/>
              <w:rPr>
                <w:sz w:val="20"/>
                <w:szCs w:val="20"/>
                <w:color w:val="auto"/>
              </w:rPr>
            </w:pPr>
            <w:r>
              <w:rPr>
                <w:rFonts w:ascii="Arial" w:cs="Arial" w:eastAsia="Arial" w:hAnsi="Arial"/>
                <w:sz w:val="18"/>
                <w:szCs w:val="18"/>
                <w:b w:val="1"/>
                <w:bCs w:val="1"/>
                <w:color w:val="auto"/>
                <w:w w:val="89"/>
              </w:rPr>
              <w:t>Financial Statements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300" w:type="dxa"/>
            <w:vAlign w:val="bottom"/>
          </w:tcPr>
          <w:p>
            <w:pPr>
              <w:jc w:val="center"/>
              <w:ind w:left="1490"/>
              <w:spacing w:after="0"/>
              <w:rPr>
                <w:sz w:val="20"/>
                <w:szCs w:val="20"/>
                <w:color w:val="auto"/>
              </w:rPr>
            </w:pPr>
            <w:r>
              <w:rPr>
                <w:rFonts w:ascii="Arial" w:cs="Arial" w:eastAsia="Arial" w:hAnsi="Arial"/>
                <w:sz w:val="18"/>
                <w:szCs w:val="18"/>
                <w:b w:val="1"/>
                <w:bCs w:val="1"/>
                <w:color w:val="auto"/>
              </w:rPr>
              <w:t>AVIAT NETWORKS, INC.</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30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300" w:type="dxa"/>
            <w:vAlign w:val="bottom"/>
          </w:tcPr>
          <w:p>
            <w:pPr>
              <w:jc w:val="center"/>
              <w:ind w:left="147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8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 except share and par value amounts)</w:t>
            </w:r>
          </w:p>
        </w:tc>
        <w:tc>
          <w:tcPr>
            <w:tcW w:w="22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24"/>
                <w:szCs w:val="24"/>
                <w:color w:val="auto"/>
              </w:rPr>
            </w:pPr>
          </w:p>
        </w:tc>
        <w:tc>
          <w:tcPr>
            <w:tcW w:w="1100" w:type="dxa"/>
            <w:vAlign w:val="bottom"/>
          </w:tcPr>
          <w:p>
            <w:pPr>
              <w:jc w:val="right"/>
              <w:ind w:right="35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w w:val="98"/>
              </w:rPr>
              <w:t>Current Assets:</w:t>
            </w:r>
          </w:p>
        </w:tc>
        <w:tc>
          <w:tcPr>
            <w:tcW w:w="7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35,658</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38,459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45,945</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Unbilled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12,110</w:t>
            </w:r>
          </w:p>
        </w:tc>
        <w:tc>
          <w:tcPr>
            <w:tcW w:w="0" w:type="dxa"/>
            <w:vAlign w:val="bottom"/>
          </w:tcPr>
          <w:p>
            <w:pPr>
              <w:spacing w:after="0"/>
              <w:rPr>
                <w:sz w:val="1"/>
                <w:szCs w:val="1"/>
                <w:color w:val="auto"/>
              </w:rPr>
            </w:pPr>
          </w:p>
        </w:tc>
      </w:tr>
      <w:tr>
        <w:trPr>
          <w:trHeight w:val="243"/>
        </w:trPr>
        <w:tc>
          <w:tcPr>
            <w:tcW w:w="128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7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22,087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21,794</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Customer service 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5,967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6,402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121,344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124,585</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16,915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16,406</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6,178</w:t>
            </w:r>
          </w:p>
        </w:tc>
        <w:tc>
          <w:tcPr>
            <w:tcW w:w="0" w:type="dxa"/>
            <w:vAlign w:val="bottom"/>
          </w:tcPr>
          <w:p>
            <w:pPr>
              <w:spacing w:after="0"/>
              <w:rPr>
                <w:sz w:val="1"/>
                <w:szCs w:val="1"/>
                <w:color w:val="auto"/>
              </w:rPr>
            </w:pP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7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9,888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153,884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152,576</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Short-term debt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33,606</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21,117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21,933</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Advanced payments and unearned income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Restructuring liabilities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86,018</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Unearned income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6,935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7,062</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Reserve for uncertain tax positions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37"/>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94,635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98,236</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10)</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Equity:</w:t>
            </w:r>
          </w:p>
        </w:tc>
        <w:tc>
          <w:tcPr>
            <w:tcW w:w="7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Preferred stock, </w:t>
            </w:r>
            <w:r>
              <w:rPr>
                <w:rFonts w:ascii="Arial" w:cs="Arial" w:eastAsia="Arial" w:hAnsi="Arial"/>
                <w:sz w:val="16"/>
                <w:szCs w:val="16"/>
                <w:color w:val="auto"/>
              </w:rPr>
              <w:t>$0.01 par value, 50,000,000 shares authorized, no shares issued or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3"/>
        </w:trPr>
        <w:tc>
          <w:tcPr>
            <w:tcW w:w="8580" w:type="dxa"/>
            <w:vAlign w:val="bottom"/>
            <w:gridSpan w:val="2"/>
          </w:tcPr>
          <w:p>
            <w:pPr>
              <w:ind w:left="280"/>
              <w:spacing w:after="0"/>
              <w:rPr>
                <w:sz w:val="20"/>
                <w:szCs w:val="20"/>
                <w:color w:val="auto"/>
              </w:rPr>
            </w:pPr>
            <w:r>
              <w:rPr>
                <w:rFonts w:ascii="Arial" w:cs="Arial" w:eastAsia="Arial" w:hAnsi="Arial"/>
                <w:sz w:val="18"/>
                <w:szCs w:val="18"/>
                <w:color w:val="auto"/>
                <w:w w:val="91"/>
              </w:rPr>
              <w:t xml:space="preserve">Common stock, </w:t>
            </w:r>
            <w:r>
              <w:rPr>
                <w:rFonts w:ascii="Arial" w:cs="Arial" w:eastAsia="Arial" w:hAnsi="Arial"/>
                <w:sz w:val="16"/>
                <w:szCs w:val="16"/>
                <w:color w:val="auto"/>
                <w:w w:val="91"/>
              </w:rPr>
              <w:t>$0.01 par value, 300,000,000 shares authorized, 5,349,309 shares issued and outstanding at March 30, 2018;</w:t>
            </w:r>
          </w:p>
        </w:tc>
        <w:tc>
          <w:tcPr>
            <w:tcW w:w="220" w:type="dxa"/>
            <w:vAlign w:val="bottom"/>
          </w:tcPr>
          <w:p>
            <w:pPr>
              <w:spacing w:after="0"/>
              <w:rPr>
                <w:sz w:val="20"/>
                <w:szCs w:val="20"/>
                <w:color w:val="auto"/>
              </w:rPr>
            </w:pPr>
          </w:p>
        </w:tc>
        <w:tc>
          <w:tcPr>
            <w:tcW w:w="1140" w:type="dxa"/>
            <w:vAlign w:val="bottom"/>
            <w:vMerge w:val="restart"/>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vMerge w:val="restart"/>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2"/>
        </w:trPr>
        <w:tc>
          <w:tcPr>
            <w:tcW w:w="8580" w:type="dxa"/>
            <w:vAlign w:val="bottom"/>
            <w:gridSpan w:val="2"/>
          </w:tcPr>
          <w:p>
            <w:pPr>
              <w:ind w:left="600"/>
              <w:spacing w:after="0"/>
              <w:rPr>
                <w:sz w:val="20"/>
                <w:szCs w:val="20"/>
                <w:color w:val="auto"/>
              </w:rPr>
            </w:pPr>
            <w:r>
              <w:rPr>
                <w:rFonts w:ascii="Arial" w:cs="Arial" w:eastAsia="Arial" w:hAnsi="Arial"/>
                <w:sz w:val="16"/>
                <w:szCs w:val="16"/>
                <w:color w:val="auto"/>
              </w:rPr>
              <w:t>5,317,766 shares issued and outstanding at June 30, 2017</w:t>
            </w:r>
          </w:p>
        </w:tc>
        <w:tc>
          <w:tcPr>
            <w:tcW w:w="2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Additional paid-in-capital</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815,437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813,733</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(746,413)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(748,204)</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(11,785)</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Total equity</w:t>
            </w:r>
          </w:p>
        </w:tc>
        <w:tc>
          <w:tcPr>
            <w:tcW w:w="73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59,249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54,340</w:t>
            </w:r>
          </w:p>
        </w:tc>
        <w:tc>
          <w:tcPr>
            <w:tcW w:w="0" w:type="dxa"/>
            <w:vAlign w:val="bottom"/>
          </w:tcPr>
          <w:p>
            <w:pPr>
              <w:spacing w:after="0"/>
              <w:rPr>
                <w:sz w:val="1"/>
                <w:szCs w:val="1"/>
                <w:color w:val="auto"/>
              </w:rPr>
            </w:pPr>
          </w:p>
        </w:tc>
      </w:tr>
      <w:tr>
        <w:trPr>
          <w:trHeight w:val="257"/>
        </w:trPr>
        <w:tc>
          <w:tcPr>
            <w:tcW w:w="8580" w:type="dxa"/>
            <w:vAlign w:val="bottom"/>
            <w:gridSpan w:val="2"/>
          </w:tcPr>
          <w:p>
            <w:pPr>
              <w:jc w:val="center"/>
              <w:ind w:right="427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153,884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152,576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420"/>
          </w:cols>
          <w:pgMar w:left="240" w:top="90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904"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200" w:type="dxa"/>
            <w:vAlign w:val="bottom"/>
          </w:tcPr>
          <w:p>
            <w:pPr>
              <w:spacing w:after="0"/>
              <w:rPr>
                <w:sz w:val="13"/>
                <w:szCs w:val="13"/>
                <w:color w:val="auto"/>
              </w:rPr>
            </w:pPr>
          </w:p>
        </w:tc>
        <w:tc>
          <w:tcPr>
            <w:tcW w:w="11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30,</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30,</w:t>
            </w:r>
          </w:p>
        </w:tc>
        <w:tc>
          <w:tcPr>
            <w:tcW w:w="220" w:type="dxa"/>
            <w:vAlign w:val="bottom"/>
          </w:tcPr>
          <w:p>
            <w:pPr>
              <w:spacing w:after="0"/>
              <w:rPr>
                <w:sz w:val="13"/>
                <w:szCs w:val="13"/>
                <w:color w:val="auto"/>
              </w:rPr>
            </w:pPr>
          </w:p>
        </w:tc>
        <w:tc>
          <w:tcPr>
            <w:tcW w:w="1040" w:type="dxa"/>
            <w:vAlign w:val="bottom"/>
          </w:tcPr>
          <w:p>
            <w:pPr>
              <w:jc w:val="right"/>
              <w:ind w:right="251"/>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Revenue from product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40,686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39,099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113,472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119,781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66,526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65,662</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62,093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58,700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179,998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185,443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revenues: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 of product sales</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28,704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26,911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76,151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82,774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15,257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46,529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46,456</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cost of revenues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43,961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40,968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122,680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129,230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margin</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57,318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56,213</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13,682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Selling and administrative expenses</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14,745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13,284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42,571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42,527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(recovery) charges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19,497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17,659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57,015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56,552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(loss) income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 net of tax</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8"/>
              </w:rPr>
              <w:t>Net (loss) income attributable to Aviat Networks’ common stockholders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per share of common stock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5,286</w:t>
            </w: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5,344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5,310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5,632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4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1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30,</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30,</w:t>
            </w:r>
          </w:p>
        </w:tc>
        <w:tc>
          <w:tcPr>
            <w:tcW w:w="220" w:type="dxa"/>
            <w:vAlign w:val="bottom"/>
          </w:tcPr>
          <w:p>
            <w:pPr>
              <w:spacing w:after="0"/>
              <w:rPr>
                <w:sz w:val="13"/>
                <w:szCs w:val="13"/>
                <w:color w:val="auto"/>
              </w:rPr>
            </w:pPr>
          </w:p>
        </w:tc>
        <w:tc>
          <w:tcPr>
            <w:tcW w:w="104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cumulative translation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 income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5"/>
              </w:rPr>
              <w:t>Less: Comprehensive income attributable to noncontrolling interests, net of tax</w:t>
            </w: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 income attributable to Aviat Networks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2,600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30,</w:t>
            </w:r>
          </w:p>
        </w:tc>
        <w:tc>
          <w:tcPr>
            <w:tcW w:w="220" w:type="dxa"/>
            <w:vAlign w:val="bottom"/>
          </w:tcPr>
          <w:p>
            <w:pPr>
              <w:spacing w:after="0"/>
              <w:rPr>
                <w:sz w:val="13"/>
                <w:szCs w:val="13"/>
                <w:color w:val="auto"/>
              </w:rPr>
            </w:pPr>
          </w:p>
        </w:tc>
        <w:tc>
          <w:tcPr>
            <w:tcW w:w="1140" w:type="dxa"/>
            <w:vAlign w:val="bottom"/>
          </w:tcPr>
          <w:p>
            <w:pPr>
              <w:jc w:val="right"/>
              <w:ind w:right="291"/>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2,396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Depreciation and amortization of property, plant and equipment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3,981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4,540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(recovery from) uncollectible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Charges for inventory and customer service inventory write-downs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disposition of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Gain on liquidation of subsidiary</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8,068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19,220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Unbilled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7,632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service 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Advanced payments and unearned income</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(9,375)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 or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Other assets and liabilities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7,279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13,419</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for acquisition of property, plant and equipment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37"/>
        </w:trPr>
        <w:tc>
          <w:tcPr>
            <w:tcW w:w="8580" w:type="dxa"/>
            <w:vAlign w:val="bottom"/>
          </w:tcPr>
          <w:p>
            <w:pPr>
              <w:ind w:left="6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borrowings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27,000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issuance of common stock under employee stock plans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36,569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31,425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38,875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40,325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ind w:left="466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Presentation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Aviat Networks, Inc. (the “Company,” “we,” “us,” and “our”) designs, manufactures and sells a range of wireless networking solutions and services to mobile and fixed telephone service providers, private network operators, government agencies, transportation and utility companies, public safety agencies and broadcast system operators across the globe. Due to the volume of our international sales, especially in developing countries, we may be susceptible to a number of political, economic and geographic risks that could harm our business as outlined in “Item 1A. Risk Factors” in our Annual Report on Form 10-K for the fiscal year ended June 30, 2017.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(“U.S. GAAP”) and with the rules and regulations of the Securities and Exchange Commission (“SEC”) for interim financial information. Accordingly, the statements do not include all information and footnotes required by U.S. GAAP for annual consolidated financial statements. In the opinion of our management, such interim financial statements reflect all adjustments (consisting of normal recurring adjustments) considered necessary for a fair presentation of financial position, results of operations and cash flows for such periods. The results for the three and nine months ended March 30, 2018 are not necessarily indicative of the results that may be expected for the full fiscal year or future operating periods. The information included in this Quarterly Report on Form 10-Q should be read in conjunction with “Management’s Discussion and Analysis of Financial Condition and Results of Operations” and the consolidated financial statements and footnotes thereto included in our Annual Report on Form 10-K for the fiscal year ended June 30, 2017.</w:t>
      </w:r>
    </w:p>
    <w:p>
      <w:pPr>
        <w:spacing w:after="0" w:line="143" w:lineRule="exact"/>
        <w:rPr>
          <w:sz w:val="20"/>
          <w:szCs w:val="20"/>
          <w:color w:val="auto"/>
        </w:rPr>
      </w:pPr>
    </w:p>
    <w:p>
      <w:pPr>
        <w:ind w:right="780" w:firstLine="486"/>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Company and its wholly-owned and majority-owned subsidiaries. All intercompany transactions and accounts have been eliminated.</w:t>
      </w:r>
    </w:p>
    <w:p>
      <w:pPr>
        <w:spacing w:after="0" w:line="116"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We operate on a 52-week or 53-week year ending on the Friday closest to June 30. The first three quarters of fiscal 2018 and fiscal 2017 included 13 weeks in each quarter. Fiscal year 2018 will be comprised of 52 weeks and will end on June 29,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The preparation of unaudited condensed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valuation allowances for deferred tax assets, uncertainties in income taxes, restructuring obligations, product warranty obligations, share-based awards, contingencies, recoverability of long-lived assets and useful lives of property, plant and equipment.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71"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There have been no material changes in our significant accounting policies as of and for the nine months ended March 30, 2018, as compared to the significant accounting policies described in our Annual Report on Form 10-K for the fiscal year ended June 30, 2017.</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58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17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 xml:space="preserve">In October 2016, the Financial Accounting Standards Board (“FASB”) issued Accounting Standards Update (“ASU”) 2016-16 (Topic 740),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Income Taxes: Intra-Entity Transfers of Assets Other than Inventory</w:t>
      </w:r>
      <w:r>
        <w:rPr>
          <w:rFonts w:ascii="Arial" w:cs="Arial" w:eastAsia="Arial" w:hAnsi="Arial"/>
          <w:sz w:val="18"/>
          <w:szCs w:val="18"/>
          <w:color w:val="auto"/>
        </w:rPr>
        <w:t>, which requires that an entity recognizes the tax expense from the sale of intra-entity</w:t>
      </w:r>
      <w:r>
        <w:rPr>
          <w:rFonts w:ascii="Arial" w:cs="Arial" w:eastAsia="Arial" w:hAnsi="Arial"/>
          <w:sz w:val="18"/>
          <w:szCs w:val="18"/>
          <w:i w:val="1"/>
          <w:iCs w:val="1"/>
          <w:color w:val="auto"/>
        </w:rPr>
        <w:t xml:space="preserve"> </w:t>
      </w:r>
      <w:r>
        <w:rPr>
          <w:rFonts w:ascii="Arial" w:cs="Arial" w:eastAsia="Arial" w:hAnsi="Arial"/>
          <w:sz w:val="18"/>
          <w:szCs w:val="18"/>
          <w:color w:val="auto"/>
        </w:rPr>
        <w:t>sales of assets, other than inventory, in the seller’s tax jurisdiction when the transfer occurs, even though the pre-tax effects of that transaction are eliminate in consolidation. We adopted this update during the first quarter of fiscal 2018. The adoption had no material impact on our unaudited condensed consolidated financial statements.</w:t>
      </w:r>
    </w:p>
    <w:p>
      <w:pPr>
        <w:spacing w:after="0" w:line="134"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 xml:space="preserve">In July 2015, the FASB issued ASU 2015-11 (Topic 330),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which provides guidance to companies who account for inventory using either the first-in, first-out or average cost methods. The guidance states that companies should measure inventory at the lower of cost and net realizable value. Net realizable value is defined as the estimated selling prices in the ordinary course of business, less reasonably predictable costs of completion, disposal and transportation. We adopted this update prospectively during the first quarter of fiscal 2018. The adoption had no material impact on our unaudited condensed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71" w:lineRule="exact"/>
        <w:rPr>
          <w:sz w:val="20"/>
          <w:szCs w:val="20"/>
          <w:color w:val="auto"/>
        </w:rPr>
      </w:pPr>
    </w:p>
    <w:p>
      <w:pPr>
        <w:ind w:right="100" w:firstLine="486"/>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(ASC Topic 606), Revenue from Contracts with Customers</w:t>
      </w:r>
      <w:r>
        <w:rPr>
          <w:rFonts w:ascii="Arial" w:cs="Arial" w:eastAsia="Arial" w:hAnsi="Arial"/>
          <w:sz w:val="17"/>
          <w:szCs w:val="17"/>
          <w:color w:val="auto"/>
        </w:rPr>
        <w:t xml:space="preserve"> with amendments issued in 2015 and 2016. This standard update will supersede nearly all current U.S. GAAP guidance on this topic and eliminate industry-specific guidance. Revenue recognition will depict the transfer of promised goods or services to customers in an amount that reflects the consideration to which the entity expects to be entitled in exchange for those goods or services. Additional disclosures will also be required to enable users to understand the nature, amount, timing and uncertainty of revenue and cash flows arising from contracts with customers. The new revenue standard may be applied retrospectively to each prior period presented or retrospectively with the cumulative effect recognized in retained earnings as of the date of adoption. We will adopt the new standard using the modified retrospective method at the beginning of our first quarter of fiscal 2019 with the cumulative effect recognized as an adjustment to the opening balance of our accumulated deficit (net of tax) as of June 30, 2018. Prior periods will not be retroactively adjusted and will continue to be reported under the accounting standards in effect for those periods. However, we will include additional disclosures of the amount by which each financial statement line item is impacted by the new standard as compared to the standard that was in effect prior to the adoption.</w:t>
      </w:r>
    </w:p>
    <w:p>
      <w:pPr>
        <w:spacing w:after="0" w:line="124"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We are on schedule in establishing new accounting policies, implementing systems and processes (including more extensive use of estimates), and internal controls necessary to support the requirements of the new standard. We have completed our preliminary assessment of the financial statement impact of the new standard and will continue to update that assessment as more information becomes available. We expect the timing of revenue recognition to change in certain areas, including our services segment’s installation revenue (and related costs), which upon adoption, will be recognized over a period of time rather than at a point in time. Certain product revenues are also expected to be accelerated to reflect when the control of the promised goods is transferred to our customers in an amount that reflects the consideration we expect to be entitled to in exchange for those goods. The remaining deferred revenue and related deferred costs (net of tax) as of the adoption date relating to the satisfied portion of the performance obligations of these contracts in process will be recorded through accumulated deficit as of June 30, 2018.</w:t>
      </w:r>
    </w:p>
    <w:p>
      <w:pPr>
        <w:spacing w:after="0" w:line="125"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Additionally, the analysis of our contracts under the new revenue recognition standard supports the recognition of revenue over time under the cost-to-cost method for some of our contracts, which is consistent with our current revenue recognition model. Revenue on these contracts will continue to be recognized over time based on a percentage-of-completion basis because of the continuous transfer of control to the customer as they meet one or more of the criteria established in the new revenue standard. Under the new standard, the cost-to-cost measure of progress continues to best depict the transfer of control of assets to the customer, which occurs as we incur costs. The ongoing effect of recording revenue on a percentage-of-completion basis within these businesses is not expected to be material. In addition, the number of our performance obligations within our financial accounting and reporting model under the existing standard is not expected to be materially different under the new standard. This preliminary assessment is based on the types and number of revenue arrangements currently in place. The exact impact of the new standard will be dependent on facts and circumstances at the point of adoption and could vary from quarter to quarter. We are still finalizing the calculation of the impact of this change to our accumulated deficit as of June 30, 2018.</w:t>
      </w:r>
    </w:p>
    <w:p>
      <w:pPr>
        <w:spacing w:after="0" w:line="113"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We have considered the impact of the guidance in ASC 340-40, Other Assets and Deferred Costs; Contracts with Customers, and the interpretations of the FASB Transition Resource Group for Revenue Recognition (TRG) with respect to capitalization and amortization of incremental costs of obtaining a contract (e.g., sales commission). In conjunction with this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8" w:name="page9"/>
    <w:bookmarkEnd w:id="8"/>
    <w:p>
      <w:pPr>
        <w:ind w:right="40"/>
        <w:spacing w:after="0" w:line="259" w:lineRule="auto"/>
        <w:rPr>
          <w:sz w:val="20"/>
          <w:szCs w:val="20"/>
          <w:color w:val="auto"/>
        </w:rPr>
      </w:pPr>
      <w:r>
        <w:rPr>
          <w:rFonts w:ascii="Arial" w:cs="Arial" w:eastAsia="Arial" w:hAnsi="Arial"/>
          <w:sz w:val="18"/>
          <w:szCs w:val="18"/>
          <w:color w:val="auto"/>
        </w:rPr>
        <w:t>interpretation, we have elected to implement the practical expedient clause allowing for incremental costs to be recognized as an expense when incurred if the period of the asset recognition is one year or less, and amortized over the period of performance, if the period of the asset recognition is greater than one year. We are continuing to assess all potential impacts of the guidance on our unaudited condensed consolidated financial statements and given normal ongoing business dynamics, preliminary conclusions are subject to change.</w:t>
      </w:r>
    </w:p>
    <w:p>
      <w:pPr>
        <w:spacing w:after="0" w:line="133"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introduces the recognition of lease assets and lease liabilities by lessees for those leases classified as operating leases under previous guidance. This standard will become effective for interim and annual periods beginning after December 15, 2018, with early adoption permitted. The guidance is required to be adopted at the earliest period presented using a modified retrospective approach. We expect that most of our operating lease commitments will be subject to the new standard and recognized as right-of-use assets and operating lease liabilities upon the adoption of ASU 2016-02. We are evaluating the effect the adoption of the standard will have on our unaudited condensed consolidated financial statements.</w:t>
      </w:r>
    </w:p>
    <w:p>
      <w:pPr>
        <w:spacing w:after="0" w:line="139"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(Subtopic 825-10): Recognition and Measurement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Assets and Financial Liabilities</w:t>
      </w:r>
      <w:r>
        <w:rPr>
          <w:rFonts w:ascii="Arial" w:cs="Arial" w:eastAsia="Arial" w:hAnsi="Arial"/>
          <w:sz w:val="18"/>
          <w:szCs w:val="18"/>
          <w:color w:val="auto"/>
        </w:rPr>
        <w:t>. This guidance retains the current accounting for classifying and measuring investments in debt securities and loans, but</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equity investments to be measured at fair value with subsequent changes recognized in net income, except for those accounted for under the equity method or requiring consolidation. The guidance also changes the accounting for investments without a readily determinable fair value and do not qualify for the practical expedient to estimate fair value. A policy election can be made for these investments whereby estimated fair value may be measured at cost and adjusted in subsequent periods for any impairment or changes in observable prices of identical or similar investments. This ASU is effective for fiscal years beginning after December 15, 2017. We do not expect the adoption of this standard to have a material impact on our unaudited condensed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(Loss) Income Per Share of Common Stock</w:t>
      </w:r>
    </w:p>
    <w:p>
      <w:pPr>
        <w:spacing w:after="0" w:line="175" w:lineRule="exact"/>
        <w:rPr>
          <w:sz w:val="20"/>
          <w:szCs w:val="20"/>
          <w:color w:val="auto"/>
        </w:rPr>
      </w:pPr>
    </w:p>
    <w:p>
      <w:pPr>
        <w:ind w:right="160" w:firstLine="486"/>
        <w:spacing w:after="0" w:line="276" w:lineRule="auto"/>
        <w:rPr>
          <w:sz w:val="20"/>
          <w:szCs w:val="20"/>
          <w:color w:val="auto"/>
        </w:rPr>
      </w:pPr>
      <w:r>
        <w:rPr>
          <w:rFonts w:ascii="Arial" w:cs="Arial" w:eastAsia="Arial" w:hAnsi="Arial"/>
          <w:sz w:val="17"/>
          <w:szCs w:val="17"/>
          <w:color w:val="auto"/>
        </w:rPr>
        <w:t>Net (loss) income per share is computed using the two-class method, by dividing net (loss) income attributable to us by the weighted-average number of shares of our outstanding common stock and participating securities outstanding. Our restricted shares contain rights to receive non-forfeitable dividends and therefore are considered to be participating securities and included in the calculations of net income per basic and diluted common share. Undistributed losses are not allocated to unvested restricted shares as the unvested restricted shares are not contractually obligated to share our losses. The impact on earnings per share of the participating securities under the two-class method is immaterial.</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computation of basic and diluted net (loss) income per share attributable to our common stockholders: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200" w:type="dxa"/>
            <w:vAlign w:val="bottom"/>
          </w:tcPr>
          <w:p>
            <w:pPr>
              <w:spacing w:after="0"/>
              <w:rPr>
                <w:sz w:val="13"/>
                <w:szCs w:val="13"/>
                <w:color w:val="auto"/>
              </w:rPr>
            </w:pPr>
          </w:p>
        </w:tc>
        <w:tc>
          <w:tcPr>
            <w:tcW w:w="11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30,</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30,</w:t>
            </w:r>
          </w:p>
        </w:tc>
        <w:tc>
          <w:tcPr>
            <w:tcW w:w="220" w:type="dxa"/>
            <w:vAlign w:val="bottom"/>
          </w:tcPr>
          <w:p>
            <w:pPr>
              <w:spacing w:after="0"/>
              <w:rPr>
                <w:sz w:val="13"/>
                <w:szCs w:val="13"/>
                <w:color w:val="auto"/>
              </w:rPr>
            </w:pPr>
          </w:p>
        </w:tc>
        <w:tc>
          <w:tcPr>
            <w:tcW w:w="1040" w:type="dxa"/>
            <w:vAlign w:val="bottom"/>
          </w:tcPr>
          <w:p>
            <w:pPr>
              <w:jc w:val="right"/>
              <w:ind w:right="256"/>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60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(loss) income attributable to Aviat Networks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1,791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311"/>
        </w:trPr>
        <w:tc>
          <w:tcPr>
            <w:tcW w:w="6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Denominator:</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Weighted average shares outstanding, basic</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5,344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5,331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5,286</w:t>
            </w: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Effect of potentially dilutive equivalent shares</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Weighted average shares outstanding, diluted</w:t>
            </w: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5,344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5,310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5,632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(loss) income per share of common stock outstanding:</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Basic</w:t>
            </w:r>
          </w:p>
        </w:tc>
        <w:tc>
          <w:tcPr>
            <w:tcW w:w="33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(0.49)</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0.34</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0.12</w:t>
            </w:r>
          </w:p>
        </w:tc>
      </w:tr>
      <w:tr>
        <w:trPr>
          <w:trHeight w:val="27"/>
        </w:trPr>
        <w:tc>
          <w:tcPr>
            <w:tcW w:w="32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3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0.32</w:t>
            </w:r>
          </w:p>
        </w:tc>
        <w:tc>
          <w:tcPr>
            <w:tcW w:w="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r>
      <w:tr>
        <w:trPr>
          <w:trHeight w:val="459"/>
        </w:trPr>
        <w:tc>
          <w:tcPr>
            <w:tcW w:w="3200" w:type="dxa"/>
            <w:vAlign w:val="bottom"/>
          </w:tcPr>
          <w:p>
            <w:pPr>
              <w:spacing w:after="0"/>
              <w:rPr>
                <w:sz w:val="24"/>
                <w:szCs w:val="24"/>
                <w:color w:val="auto"/>
              </w:rPr>
            </w:pPr>
          </w:p>
        </w:tc>
        <w:tc>
          <w:tcPr>
            <w:tcW w:w="3320" w:type="dxa"/>
            <w:vAlign w:val="bottom"/>
          </w:tcPr>
          <w:p>
            <w:pPr>
              <w:jc w:val="right"/>
              <w:ind w:right="670"/>
              <w:spacing w:after="0"/>
              <w:rPr>
                <w:sz w:val="20"/>
                <w:szCs w:val="20"/>
                <w:color w:val="auto"/>
              </w:rPr>
            </w:pPr>
            <w:r>
              <w:rPr>
                <w:rFonts w:ascii="Arial" w:cs="Arial" w:eastAsia="Arial" w:hAnsi="Arial"/>
                <w:sz w:val="18"/>
                <w:szCs w:val="18"/>
                <w:color w:val="auto"/>
              </w:rPr>
              <w:t>9</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9" w:name="page10"/>
    <w:bookmarkEnd w:id="9"/>
    <w:p>
      <w:pPr>
        <w:ind w:right="140" w:firstLine="486"/>
        <w:spacing w:after="0" w:line="277" w:lineRule="auto"/>
        <w:rPr>
          <w:sz w:val="20"/>
          <w:szCs w:val="20"/>
          <w:color w:val="auto"/>
        </w:rPr>
      </w:pPr>
      <w:r>
        <w:rPr>
          <w:rFonts w:ascii="Arial" w:cs="Arial" w:eastAsia="Arial" w:hAnsi="Arial"/>
          <w:sz w:val="18"/>
          <w:szCs w:val="18"/>
          <w:color w:val="auto"/>
        </w:rPr>
        <w:t>The following table summarizes the weighted-average equity awards that were excluded from the diluted net income per share calculations since they were antidilutive: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52"/>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March 30,</w:t>
            </w:r>
          </w:p>
        </w:tc>
        <w:tc>
          <w:tcPr>
            <w:tcW w:w="1380" w:type="dxa"/>
            <w:vAlign w:val="bottom"/>
            <w:gridSpan w:val="3"/>
          </w:tcPr>
          <w:p>
            <w:pPr>
              <w:ind w:left="320"/>
              <w:spacing w:after="0" w:line="153" w:lineRule="exact"/>
              <w:rPr>
                <w:sz w:val="20"/>
                <w:szCs w:val="20"/>
                <w:color w:val="auto"/>
              </w:rPr>
            </w:pPr>
            <w:r>
              <w:rPr>
                <w:rFonts w:ascii="Arial" w:cs="Arial" w:eastAsia="Arial" w:hAnsi="Arial"/>
                <w:sz w:val="14"/>
                <w:szCs w:val="14"/>
                <w:b w:val="1"/>
                <w:bCs w:val="1"/>
                <w:color w:val="auto"/>
              </w:rPr>
              <w:t>March 31,</w:t>
            </w:r>
          </w:p>
        </w:tc>
        <w:tc>
          <w:tcPr>
            <w:tcW w:w="1260" w:type="dxa"/>
            <w:vAlign w:val="bottom"/>
            <w:gridSpan w:val="3"/>
          </w:tcPr>
          <w:p>
            <w:pPr>
              <w:ind w:left="300"/>
              <w:spacing w:after="0" w:line="153" w:lineRule="exact"/>
              <w:rPr>
                <w:sz w:val="20"/>
                <w:szCs w:val="20"/>
                <w:color w:val="auto"/>
              </w:rPr>
            </w:pPr>
            <w:r>
              <w:rPr>
                <w:rFonts w:ascii="Arial" w:cs="Arial" w:eastAsia="Arial" w:hAnsi="Arial"/>
                <w:sz w:val="14"/>
                <w:szCs w:val="14"/>
                <w:b w:val="1"/>
                <w:bCs w:val="1"/>
                <w:color w:val="auto"/>
              </w:rPr>
              <w:t>March 30,</w:t>
            </w:r>
          </w:p>
        </w:tc>
        <w:tc>
          <w:tcPr>
            <w:tcW w:w="100" w:type="dxa"/>
            <w:vAlign w:val="bottom"/>
          </w:tcPr>
          <w:p>
            <w:pPr>
              <w:spacing w:after="0"/>
              <w:rPr>
                <w:sz w:val="13"/>
                <w:szCs w:val="13"/>
                <w:color w:val="auto"/>
              </w:rPr>
            </w:pPr>
          </w:p>
        </w:tc>
        <w:tc>
          <w:tcPr>
            <w:tcW w:w="124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Restricted stock units and performance stock units</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1"/>
                <w:szCs w:val="21"/>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potential shares of common stock excluded</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Note 3. Balance Sheet Components</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440" w:type="dxa"/>
            <w:vAlign w:val="bottom"/>
            <w:gridSpan w:val="3"/>
          </w:tcPr>
          <w:p>
            <w:pPr>
              <w:ind w:left="500"/>
              <w:spacing w:after="0"/>
              <w:rPr>
                <w:sz w:val="20"/>
                <w:szCs w:val="20"/>
                <w:color w:val="auto"/>
              </w:rPr>
            </w:pPr>
            <w:r>
              <w:rPr>
                <w:rFonts w:ascii="Arial" w:cs="Arial" w:eastAsia="Arial" w:hAnsi="Arial"/>
                <w:sz w:val="18"/>
                <w:szCs w:val="18"/>
                <w:color w:val="auto"/>
                <w:w w:val="96"/>
              </w:rPr>
              <w:t>The following table provides a summary of our cash, cash equivalents and restricted cash:</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9"/>
              </w:rPr>
              <w:t>March 30,</w:t>
            </w:r>
          </w:p>
        </w:tc>
        <w:tc>
          <w:tcPr>
            <w:tcW w:w="100" w:type="dxa"/>
            <w:vAlign w:val="bottom"/>
          </w:tcPr>
          <w:p>
            <w:pPr>
              <w:spacing w:after="0"/>
              <w:rPr>
                <w:sz w:val="24"/>
                <w:szCs w:val="24"/>
                <w:color w:val="auto"/>
              </w:rPr>
            </w:pPr>
          </w:p>
        </w:tc>
        <w:tc>
          <w:tcPr>
            <w:tcW w:w="124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37,264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35,658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included in Other assets</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57"/>
        </w:trPr>
        <w:tc>
          <w:tcPr>
            <w:tcW w:w="6060" w:type="dxa"/>
            <w:vAlign w:val="bottom"/>
          </w:tcPr>
          <w:p>
            <w:pPr>
              <w:ind w:left="180"/>
              <w:spacing w:after="0"/>
              <w:rPr>
                <w:sz w:val="20"/>
                <w:szCs w:val="20"/>
                <w:color w:val="auto"/>
              </w:rPr>
            </w:pPr>
            <w:r>
              <w:rPr>
                <w:rFonts w:ascii="Arial" w:cs="Arial" w:eastAsia="Arial" w:hAnsi="Arial"/>
                <w:sz w:val="18"/>
                <w:szCs w:val="18"/>
                <w:color w:val="auto"/>
              </w:rPr>
              <w:t>Total cash, cash equivalents, and restricted cash</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38,875</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36,569</w:t>
            </w:r>
          </w:p>
        </w:tc>
        <w:tc>
          <w:tcPr>
            <w:tcW w:w="0" w:type="dxa"/>
            <w:vAlign w:val="bottom"/>
          </w:tcPr>
          <w:p>
            <w:pPr>
              <w:spacing w:after="0"/>
              <w:rPr>
                <w:sz w:val="1"/>
                <w:szCs w:val="1"/>
                <w:color w:val="auto"/>
              </w:rPr>
            </w:pPr>
          </w:p>
        </w:tc>
      </w:tr>
      <w:tr>
        <w:trPr>
          <w:trHeight w:val="20"/>
        </w:trPr>
        <w:tc>
          <w:tcPr>
            <w:tcW w:w="7440" w:type="dxa"/>
            <w:vAlign w:val="bottom"/>
            <w:gridSpan w:val="3"/>
            <w:vMerge w:val="restart"/>
          </w:tcPr>
          <w:p>
            <w:pPr>
              <w:ind w:left="500"/>
              <w:spacing w:after="0"/>
              <w:rPr>
                <w:sz w:val="20"/>
                <w:szCs w:val="20"/>
                <w:color w:val="auto"/>
              </w:rPr>
            </w:pPr>
            <w:r>
              <w:rPr>
                <w:rFonts w:ascii="Arial" w:cs="Arial" w:eastAsia="Arial" w:hAnsi="Arial"/>
                <w:sz w:val="18"/>
                <w:szCs w:val="18"/>
                <w:color w:val="auto"/>
                <w:w w:val="96"/>
              </w:rPr>
              <w:t>The restricted cash in the amount of $1.3 million above became unrestricted in April 2018.</w:t>
            </w: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44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0"/>
                <w:szCs w:val="20"/>
                <w:color w:val="auto"/>
              </w:rPr>
            </w:pPr>
            <w:r>
              <w:rPr>
                <w:rFonts w:ascii="Arial" w:cs="Arial" w:eastAsia="Arial" w:hAnsi="Arial"/>
                <w:sz w:val="18"/>
                <w:szCs w:val="18"/>
                <w:b w:val="1"/>
                <w:bCs w:val="1"/>
                <w:i w:val="1"/>
                <w:iCs w:val="1"/>
                <w:color w:val="auto"/>
              </w:rPr>
              <w:t>Accounts Receivable, net</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ind w:left="500"/>
              <w:spacing w:after="0"/>
              <w:rPr>
                <w:sz w:val="20"/>
                <w:szCs w:val="20"/>
                <w:color w:val="auto"/>
              </w:rPr>
            </w:pPr>
            <w:r>
              <w:rPr>
                <w:rFonts w:ascii="Arial" w:cs="Arial" w:eastAsia="Arial" w:hAnsi="Arial"/>
                <w:sz w:val="18"/>
                <w:szCs w:val="18"/>
                <w:color w:val="auto"/>
              </w:rPr>
              <w:t>Our net accounts receivable were as follows:</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9"/>
              </w:rPr>
              <w:t>March 30,</w:t>
            </w:r>
          </w:p>
        </w:tc>
        <w:tc>
          <w:tcPr>
            <w:tcW w:w="100" w:type="dxa"/>
            <w:vAlign w:val="bottom"/>
          </w:tcPr>
          <w:p>
            <w:pPr>
              <w:spacing w:after="0"/>
              <w:rPr>
                <w:sz w:val="24"/>
                <w:szCs w:val="24"/>
                <w:color w:val="auto"/>
              </w:rPr>
            </w:pPr>
          </w:p>
        </w:tc>
        <w:tc>
          <w:tcPr>
            <w:tcW w:w="124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41,152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49,864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Less allowances for collection losses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38,459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45,945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ind w:left="500"/>
              <w:spacing w:after="0"/>
              <w:rPr>
                <w:sz w:val="20"/>
                <w:szCs w:val="20"/>
                <w:color w:val="auto"/>
              </w:rPr>
            </w:pPr>
            <w:r>
              <w:rPr>
                <w:rFonts w:ascii="Arial" w:cs="Arial" w:eastAsia="Arial" w:hAnsi="Arial"/>
                <w:sz w:val="18"/>
                <w:szCs w:val="18"/>
                <w:color w:val="auto"/>
              </w:rPr>
              <w:t>Our inventories were as follows:</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9"/>
              </w:rPr>
              <w:t>March 30,</w:t>
            </w:r>
          </w:p>
        </w:tc>
        <w:tc>
          <w:tcPr>
            <w:tcW w:w="100" w:type="dxa"/>
            <w:vAlign w:val="bottom"/>
          </w:tcPr>
          <w:p>
            <w:pPr>
              <w:spacing w:after="0"/>
              <w:rPr>
                <w:sz w:val="24"/>
                <w:szCs w:val="24"/>
                <w:color w:val="auto"/>
              </w:rPr>
            </w:pPr>
          </w:p>
        </w:tc>
        <w:tc>
          <w:tcPr>
            <w:tcW w:w="124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17,216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16,619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2,883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3,088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1,988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inventories</w:t>
            </w:r>
          </w:p>
        </w:tc>
        <w:tc>
          <w:tcPr>
            <w:tcW w:w="1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22,087</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21,794</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cost of revenue included within finished goods</w:t>
            </w: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5,628</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7,120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Consigned inventories included within raw materials and supplies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1,237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record recovery or charges to adjust our inventory and customer service inventory due to excess and obsolete inventory resulting from lower sales forecasts, product transitioning or discontinuance. During the three and nine months ended March 30, 2018, we recorded a net recovery of $0.1 million and $0.3 million, respectively, related to previously reserved inventory due to sell through. During the three and nine months ended March 31, 2017, we recorded a net recovery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6" w:right="239" w:bottom="1440" w:gutter="0" w:footer="0" w:header="0"/>
        </w:sectPr>
      </w:pPr>
    </w:p>
    <w:bookmarkStart w:id="10" w:name="page11"/>
    <w:bookmarkEnd w:id="10"/>
    <w:p>
      <w:pPr>
        <w:ind w:right="200"/>
        <w:spacing w:after="0" w:line="277" w:lineRule="auto"/>
        <w:rPr>
          <w:sz w:val="20"/>
          <w:szCs w:val="20"/>
          <w:color w:val="auto"/>
        </w:rPr>
      </w:pPr>
      <w:r>
        <w:rPr>
          <w:rFonts w:ascii="Arial" w:cs="Arial" w:eastAsia="Arial" w:hAnsi="Arial"/>
          <w:sz w:val="18"/>
          <w:szCs w:val="18"/>
          <w:color w:val="auto"/>
        </w:rPr>
        <w:t>of $0.4 million and a net write down charge of $0.2 million, respectively. Such recovery or charges during the three and nine months ended March 30, 2018 and March 31, 2017 were classified in cost of product sales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jc w:val="right"/>
              <w:ind w:right="57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center"/>
              <w:ind w:right="16"/>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52"/>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1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March 30,</w:t>
            </w:r>
          </w:p>
        </w:tc>
        <w:tc>
          <w:tcPr>
            <w:tcW w:w="200" w:type="dxa"/>
            <w:vAlign w:val="bottom"/>
          </w:tcPr>
          <w:p>
            <w:pPr>
              <w:spacing w:after="0"/>
              <w:rPr>
                <w:sz w:val="13"/>
                <w:szCs w:val="13"/>
                <w:color w:val="auto"/>
              </w:rPr>
            </w:pPr>
          </w:p>
        </w:tc>
        <w:tc>
          <w:tcPr>
            <w:tcW w:w="116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3"/>
                <w:szCs w:val="13"/>
                <w:color w:val="auto"/>
              </w:rPr>
            </w:pPr>
          </w:p>
        </w:tc>
        <w:tc>
          <w:tcPr>
            <w:tcW w:w="11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March 30,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obsolete inventory (recovery) charges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Customer service inventory write-downs</w:t>
            </w:r>
          </w:p>
        </w:tc>
        <w:tc>
          <w:tcPr>
            <w:tcW w:w="20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Property, Plant and Equipment, net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ind w:left="500"/>
              <w:spacing w:after="0"/>
              <w:rPr>
                <w:sz w:val="20"/>
                <w:szCs w:val="20"/>
                <w:color w:val="auto"/>
              </w:rPr>
            </w:pPr>
            <w:r>
              <w:rPr>
                <w:rFonts w:ascii="Arial" w:cs="Arial" w:eastAsia="Arial" w:hAnsi="Arial"/>
                <w:sz w:val="18"/>
                <w:szCs w:val="18"/>
                <w:color w:val="auto"/>
              </w:rPr>
              <w:t>Our property, plant and equipment, net were as follows: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March 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11,445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11,442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15,502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14,803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47,399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43,174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75,056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70,129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(58,141)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(53,723)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16,915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16,406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gridSpan w:val="4"/>
            <w:vMerge w:val="restart"/>
          </w:tcPr>
          <w:p>
            <w:pPr>
              <w:ind w:left="500"/>
              <w:spacing w:after="0"/>
              <w:rPr>
                <w:sz w:val="20"/>
                <w:szCs w:val="20"/>
                <w:color w:val="auto"/>
              </w:rPr>
            </w:pPr>
            <w:r>
              <w:rPr>
                <w:rFonts w:ascii="Arial" w:cs="Arial" w:eastAsia="Arial" w:hAnsi="Arial"/>
                <w:sz w:val="18"/>
                <w:szCs w:val="18"/>
                <w:color w:val="auto"/>
                <w:w w:val="90"/>
              </w:rPr>
              <w:t>Depreciation and amortization expense related to property, plant and equipment was as follows:</w:t>
            </w: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4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0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ind w:right="57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right="16"/>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52"/>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1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March 30,</w:t>
            </w:r>
          </w:p>
        </w:tc>
        <w:tc>
          <w:tcPr>
            <w:tcW w:w="200" w:type="dxa"/>
            <w:vAlign w:val="bottom"/>
          </w:tcPr>
          <w:p>
            <w:pPr>
              <w:spacing w:after="0"/>
              <w:rPr>
                <w:sz w:val="13"/>
                <w:szCs w:val="13"/>
                <w:color w:val="auto"/>
              </w:rPr>
            </w:pPr>
          </w:p>
        </w:tc>
        <w:tc>
          <w:tcPr>
            <w:tcW w:w="116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3"/>
                <w:szCs w:val="13"/>
                <w:color w:val="auto"/>
              </w:rPr>
            </w:pPr>
          </w:p>
        </w:tc>
        <w:tc>
          <w:tcPr>
            <w:tcW w:w="11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March 30,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1,391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4,540</w:t>
            </w: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ind w:left="500"/>
              <w:spacing w:after="0"/>
              <w:rPr>
                <w:sz w:val="20"/>
                <w:szCs w:val="20"/>
                <w:color w:val="auto"/>
              </w:rPr>
            </w:pPr>
            <w:r>
              <w:rPr>
                <w:rFonts w:ascii="Arial" w:cs="Arial" w:eastAsia="Arial" w:hAnsi="Arial"/>
                <w:sz w:val="18"/>
                <w:szCs w:val="18"/>
                <w:color w:val="auto"/>
              </w:rPr>
              <w:t>Our accrued expenses are summarized below:</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March 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8,082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8,317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Accrued warranties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3,172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9,863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10,560</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21,117</w:t>
            </w:r>
          </w:p>
        </w:tc>
        <w:tc>
          <w:tcPr>
            <w:tcW w:w="120" w:type="dxa"/>
            <w:vAlign w:val="bottom"/>
          </w:tcPr>
          <w:p>
            <w:pPr>
              <w:spacing w:after="0"/>
              <w:rPr>
                <w:sz w:val="20"/>
                <w:szCs w:val="20"/>
                <w:color w:val="auto"/>
              </w:rPr>
            </w:pPr>
          </w:p>
        </w:tc>
        <w:tc>
          <w:tcPr>
            <w:tcW w:w="32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21,933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Warranties</w:t>
      </w:r>
    </w:p>
    <w:p>
      <w:pPr>
        <w:spacing w:after="0" w:line="171" w:lineRule="exact"/>
        <w:rPr>
          <w:sz w:val="20"/>
          <w:szCs w:val="20"/>
          <w:color w:val="auto"/>
        </w:rPr>
      </w:pPr>
    </w:p>
    <w:p>
      <w:pPr>
        <w:jc w:val="both"/>
        <w:ind w:right="40" w:firstLine="486"/>
        <w:spacing w:after="0" w:line="277" w:lineRule="auto"/>
        <w:rPr>
          <w:sz w:val="20"/>
          <w:szCs w:val="20"/>
          <w:color w:val="auto"/>
        </w:rPr>
      </w:pPr>
      <w:r>
        <w:rPr>
          <w:rFonts w:ascii="Arial" w:cs="Arial" w:eastAsia="Arial" w:hAnsi="Arial"/>
          <w:sz w:val="18"/>
          <w:szCs w:val="18"/>
          <w:color w:val="auto"/>
        </w:rPr>
        <w:t>We accrue for the estimated cost to repair or replace products under warranty at the time of sale. Changes in our warranty liability, which is included as a component of accrued expenses in the unaudited condensed consolidated balance sheets were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6"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center"/>
              <w:ind w:right="17"/>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52"/>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1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30,</w:t>
            </w:r>
          </w:p>
        </w:tc>
        <w:tc>
          <w:tcPr>
            <w:tcW w:w="200" w:type="dxa"/>
            <w:vAlign w:val="bottom"/>
          </w:tcPr>
          <w:p>
            <w:pPr>
              <w:spacing w:after="0"/>
              <w:rPr>
                <w:sz w:val="13"/>
                <w:szCs w:val="13"/>
                <w:color w:val="auto"/>
              </w:rPr>
            </w:pPr>
          </w:p>
        </w:tc>
        <w:tc>
          <w:tcPr>
            <w:tcW w:w="116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3"/>
                <w:szCs w:val="13"/>
                <w:color w:val="auto"/>
              </w:rPr>
            </w:pPr>
          </w:p>
        </w:tc>
        <w:tc>
          <w:tcPr>
            <w:tcW w:w="1140" w:type="dxa"/>
            <w:vAlign w:val="bottom"/>
            <w:gridSpan w:val="2"/>
          </w:tcPr>
          <w:p>
            <w:pPr>
              <w:jc w:val="right"/>
              <w:ind w:right="340"/>
              <w:spacing w:after="0" w:line="153" w:lineRule="exact"/>
              <w:rPr>
                <w:sz w:val="20"/>
                <w:szCs w:val="20"/>
                <w:color w:val="auto"/>
              </w:rPr>
            </w:pPr>
            <w:r>
              <w:rPr>
                <w:rFonts w:ascii="Arial" w:cs="Arial" w:eastAsia="Arial" w:hAnsi="Arial"/>
                <w:sz w:val="14"/>
                <w:szCs w:val="14"/>
                <w:b w:val="1"/>
                <w:bCs w:val="1"/>
                <w:color w:val="auto"/>
              </w:rPr>
              <w:t>March 30,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the beginning of the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3,168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3,056</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Warranty provision recorded during the period</w:t>
            </w:r>
          </w:p>
        </w:tc>
        <w:tc>
          <w:tcPr>
            <w:tcW w:w="200" w:type="dxa"/>
            <w:vAlign w:val="bottom"/>
          </w:tcPr>
          <w:p>
            <w:pPr>
              <w:spacing w:after="0"/>
              <w:rPr>
                <w:sz w:val="21"/>
                <w:szCs w:val="21"/>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Consumption during the period</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Balance as of the end of the period</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3,172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3,172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Advanced payments and Unearned Income</w:t>
            </w: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ind w:left="500"/>
              <w:spacing w:after="0"/>
              <w:rPr>
                <w:sz w:val="20"/>
                <w:szCs w:val="20"/>
                <w:color w:val="auto"/>
              </w:rPr>
            </w:pPr>
            <w:r>
              <w:rPr>
                <w:rFonts w:ascii="Arial" w:cs="Arial" w:eastAsia="Arial" w:hAnsi="Arial"/>
                <w:sz w:val="18"/>
                <w:szCs w:val="18"/>
                <w:color w:val="auto"/>
                <w:w w:val="97"/>
              </w:rPr>
              <w:t>Our advanced payments and unearned income are summarized below:</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March 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Advanced payments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6,727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8,760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Unearned income</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13,826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11,244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20,553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20,004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 of Assets and Liabilities</w:t>
      </w:r>
    </w:p>
    <w:p>
      <w:pPr>
        <w:spacing w:after="0" w:line="175" w:lineRule="exact"/>
        <w:rPr>
          <w:sz w:val="20"/>
          <w:szCs w:val="20"/>
          <w:color w:val="auto"/>
        </w:rPr>
      </w:pPr>
    </w:p>
    <w:p>
      <w:pPr>
        <w:ind w:right="280" w:firstLine="486"/>
        <w:spacing w:after="0" w:line="302"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00"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 and</w:t>
      </w:r>
    </w:p>
    <w:p>
      <w:pPr>
        <w:spacing w:after="0" w:line="63" w:lineRule="exact"/>
        <w:rPr>
          <w:rFonts w:ascii="Arial" w:cs="Arial" w:eastAsia="Arial" w:hAnsi="Arial"/>
          <w:sz w:val="18"/>
          <w:szCs w:val="18"/>
          <w:color w:val="auto"/>
        </w:rPr>
      </w:pPr>
    </w:p>
    <w:p>
      <w:pPr>
        <w:ind w:left="980" w:right="66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1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carrying amounts, estimated fair values and valuation input levels of our assets and liabilities that are measured at fair value on a recurring basis as of March 30, 2018 and June 30, 2017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March 30, 2018</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64"/>
        </w:trPr>
        <w:tc>
          <w:tcPr>
            <w:tcW w:w="48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2"/>
                <w:szCs w:val="22"/>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22"/>
                <w:szCs w:val="22"/>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22"/>
                <w:szCs w:val="22"/>
                <w:color w:val="auto"/>
              </w:rPr>
            </w:pPr>
          </w:p>
        </w:tc>
        <w:tc>
          <w:tcPr>
            <w:tcW w:w="960" w:type="dxa"/>
            <w:vAlign w:val="bottom"/>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1480" w:type="dxa"/>
            <w:vAlign w:val="bottom"/>
          </w:tcPr>
          <w:p>
            <w:pPr>
              <w:ind w:left="220"/>
              <w:spacing w:after="0"/>
              <w:rPr>
                <w:sz w:val="20"/>
                <w:szCs w:val="20"/>
                <w:color w:val="auto"/>
              </w:rPr>
            </w:pPr>
            <w:r>
              <w:rPr>
                <w:rFonts w:ascii="Arial" w:cs="Arial" w:eastAsia="Arial" w:hAnsi="Arial"/>
                <w:sz w:val="14"/>
                <w:szCs w:val="14"/>
                <w:b w:val="1"/>
                <w:bCs w:val="1"/>
                <w:color w:val="auto"/>
              </w:rPr>
              <w:t>Valuation Inputs</w:t>
            </w: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17,789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22,059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22,059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w w:val="96"/>
              </w:rPr>
              <w:t>Level 1</w:t>
            </w: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Bank certificates of deposit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480" w:type="dxa"/>
            <w:vAlign w:val="bottom"/>
          </w:tcPr>
          <w:p>
            <w:pPr>
              <w:ind w:left="900"/>
              <w:spacing w:after="0"/>
              <w:rPr>
                <w:sz w:val="20"/>
                <w:szCs w:val="20"/>
                <w:color w:val="auto"/>
              </w:rPr>
            </w:pPr>
            <w:r>
              <w:rPr>
                <w:rFonts w:ascii="Arial" w:cs="Arial" w:eastAsia="Arial" w:hAnsi="Arial"/>
                <w:sz w:val="18"/>
                <w:szCs w:val="18"/>
                <w:color w:val="auto"/>
                <w:w w:val="96"/>
              </w:rPr>
              <w:t>Level 2</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 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Bank certificates of deposit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1480" w:type="dxa"/>
            <w:vAlign w:val="bottom"/>
          </w:tcPr>
          <w:p>
            <w:pPr>
              <w:ind w:left="900"/>
              <w:spacing w:after="0"/>
              <w:rPr>
                <w:sz w:val="20"/>
                <w:szCs w:val="20"/>
                <w:color w:val="auto"/>
              </w:rPr>
            </w:pPr>
            <w:r>
              <w:rPr>
                <w:rFonts w:ascii="Arial" w:cs="Arial" w:eastAsia="Arial" w:hAnsi="Arial"/>
                <w:sz w:val="18"/>
                <w:szCs w:val="18"/>
                <w:color w:val="auto"/>
                <w:w w:val="96"/>
              </w:rPr>
              <w:t>Level 2</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Foreign exchange forward contracts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80" w:type="dxa"/>
            <w:vAlign w:val="bottom"/>
          </w:tcPr>
          <w:p>
            <w:pPr>
              <w:ind w:left="900"/>
              <w:spacing w:after="0"/>
              <w:rPr>
                <w:sz w:val="20"/>
                <w:szCs w:val="20"/>
                <w:color w:val="auto"/>
              </w:rPr>
            </w:pPr>
            <w:r>
              <w:rPr>
                <w:rFonts w:ascii="Arial" w:cs="Arial" w:eastAsia="Arial" w:hAnsi="Arial"/>
                <w:sz w:val="18"/>
                <w:szCs w:val="18"/>
                <w:color w:val="auto"/>
                <w:w w:val="96"/>
              </w:rPr>
              <w:t>Level 2</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forward contracts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6"/>
              </w:rPr>
              <w:t>Level 2</w:t>
            </w:r>
          </w:p>
        </w:tc>
      </w:tr>
      <w:tr>
        <w:trPr>
          <w:trHeight w:val="27"/>
        </w:trPr>
        <w:tc>
          <w:tcPr>
            <w:tcW w:w="4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We classify items within Level 1 if quoted prices are available in active markets. Our Level 1 items mainly are money market funds. As of March 30, 2018 and June 30, 2017, these money market funds were valued at $1.00 net asset value per share.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968" w:right="239" w:bottom="1440" w:gutter="0" w:footer="0" w:header="0"/>
        </w:sectPr>
      </w:pPr>
    </w:p>
    <w:bookmarkStart w:id="12" w:name="page13"/>
    <w:bookmarkEnd w:id="12"/>
    <w:p>
      <w:pPr>
        <w:ind w:firstLine="486"/>
        <w:spacing w:after="0" w:line="302" w:lineRule="auto"/>
        <w:rPr>
          <w:sz w:val="20"/>
          <w:szCs w:val="20"/>
          <w:color w:val="auto"/>
        </w:rPr>
      </w:pPr>
      <w:r>
        <w:rPr>
          <w:rFonts w:ascii="Arial" w:cs="Arial" w:eastAsia="Arial" w:hAnsi="Arial"/>
          <w:sz w:val="16"/>
          <w:szCs w:val="16"/>
          <w:color w:val="auto"/>
        </w:rPr>
        <w:t>We classify items in Level 2 if the observable inputs to quoted market prices, benchmark yields, reported trades, broker/dealer quotes or alternative pricing sources are available with reasonable levels of price transparency. Our bank certificates of deposit and foreign exchange forward contracts are classified within Level 2. Foreign currency forward contracts are measured at fair value using observable foreign currency exchange rates. The changes in fair value related to our foreign currency forward contracts were recorded in cost of revenues on our unaudited condensed consolidated statements of operations.</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March 30, 2018 and June 30, 2017, we did not have any recurring assets or liabilities that were valued using significant unobservable inputs.</w:t>
      </w:r>
    </w:p>
    <w:p>
      <w:pPr>
        <w:spacing w:after="0" w:line="194"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the first nine months of fiscal 2018 and 2017, we had no transfers between levels of the fair value hierarchy of our assets or liabilities measured at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Credit Facility and Debt</w:t>
      </w:r>
    </w:p>
    <w:p>
      <w:pPr>
        <w:spacing w:after="0" w:line="175"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On March 28, 2014, we entered into a Second Amended and Restated Loan Agreement with Silicon Valley Bank (the “SVB Credit Facility”). The SVB Credit Facility expires on June 30, 2018. The SVB Credit Facility provides for a committed amount of up to $30.0 million, with a $30.0 million sublimit that can be borrowed by our Singapore subsidiary. Borrowings may be advanced under the SVB Credit Facility at the lesser of $30.0 million or a borrowing base equal to a specified percentage of the value of eligible accounts receivable and U.S. unbilled accounts of the Company, subject to certain reserves and eligibility criteria. The SVB Credit Facility can also be utilized to issue letters of credit with a $12.0 million sublimit. If the SVB Credit Facility is terminated by us in certain circumstances prior to its expiration, we are subject to an early termination fee equal to 1% of the revolving line. In September 2017, the SVB Credit Facility was amended to allow up to 30% of our Singapore subsidiary’s accounts receivable to be included in the calculation of the borrowing base and the inclusion of the accounts receivable of certain high credit quality customers that are aged 90 to 120 days to be included in the calculation of the borrowing base.</w:t>
      </w:r>
    </w:p>
    <w:p>
      <w:pPr>
        <w:spacing w:after="0" w:line="143"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Our outstanding debt under the SVB Credit Facility was $9.0 million as of March 30, 2018 and June 30, 2017. The SVB Credit Facility carries an interest rate computed at the daily prime rate as published in the Wall Street Journal plus a spread of 0.50% to 1.50%, with such spread determined based on our adjusted quick ratio. During the first nine months of fiscal year 2018, the weighted average interest rate on our outstanding loan was 4.90%. As of March 30, 2018, available credit under the SVB Credit Facility was $6.9 million reflecting the calculated borrowing base of $18.6 million less existing borrowings of $9.0 million and outstanding letters of credit of $2.7 million.</w:t>
      </w:r>
    </w:p>
    <w:p>
      <w:pPr>
        <w:spacing w:after="0" w:line="134"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The SVB Credit Facility contains quarterly financial covenants including minimum adjusted quick ratio and minimum profitability (EBITDA) requirements. In the event our adjusted quick ratio falls below a certain level, cash received in our accounts with SVB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2% above the applicable interest rate. As of March 30, 2018, we were in compliance with the quarterly financial covenants, as amended, contained in the SVB Credit Facility.</w:t>
      </w:r>
    </w:p>
    <w:p>
      <w:pPr>
        <w:spacing w:after="0" w:line="112"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In addition, we have an uncommitted short-term line of credit of $0.4 million from a bank in New Zealand to support the operations of our subsidiary located there. This line of credit provides for $0.3 million in short-term advances at various interest rates, all of which was available as of March 30, 2018 and June 30, 2017. The line of credit also provides for the issuance of standby letters of credit and company credit cards, of which $0.1 million was outstanding as of March 30, 2018. This facility may be terminated upon notice, is reviewed annually for renewal or modification, and is supported by a corporate guarantee.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746"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6. Restructuring Activities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restructuring related activities during the first nine months of fiscal 2018:</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Severance and Benefits</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Facilities and Other</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Fiscal</w:t>
            </w:r>
          </w:p>
        </w:tc>
        <w:tc>
          <w:tcPr>
            <w:tcW w:w="140" w:type="dxa"/>
            <w:vAlign w:val="bottom"/>
          </w:tcPr>
          <w:p>
            <w:pPr>
              <w:spacing w:after="0"/>
              <w:rPr>
                <w:sz w:val="13"/>
                <w:szCs w:val="13"/>
                <w:color w:val="auto"/>
              </w:rPr>
            </w:pPr>
          </w:p>
        </w:tc>
        <w:tc>
          <w:tcPr>
            <w:tcW w:w="9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Fiscal</w:t>
            </w:r>
          </w:p>
        </w:tc>
        <w:tc>
          <w:tcPr>
            <w:tcW w:w="140" w:type="dxa"/>
            <w:vAlign w:val="bottom"/>
          </w:tcPr>
          <w:p>
            <w:pPr>
              <w:spacing w:after="0"/>
              <w:rPr>
                <w:sz w:val="13"/>
                <w:szCs w:val="13"/>
                <w:color w:val="auto"/>
              </w:rPr>
            </w:pPr>
          </w:p>
        </w:tc>
        <w:tc>
          <w:tcPr>
            <w:tcW w:w="8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Fiscal</w:t>
            </w:r>
          </w:p>
        </w:tc>
        <w:tc>
          <w:tcPr>
            <w:tcW w:w="120" w:type="dxa"/>
            <w:vAlign w:val="bottom"/>
          </w:tcPr>
          <w:p>
            <w:pPr>
              <w:spacing w:after="0"/>
              <w:rPr>
                <w:sz w:val="13"/>
                <w:szCs w:val="13"/>
                <w:color w:val="auto"/>
              </w:rPr>
            </w:pPr>
          </w:p>
        </w:tc>
        <w:tc>
          <w:tcPr>
            <w:tcW w:w="740" w:type="dxa"/>
            <w:vAlign w:val="bottom"/>
          </w:tcPr>
          <w:p>
            <w:pPr>
              <w:jc w:val="center"/>
              <w:ind w:right="13"/>
              <w:spacing w:after="0" w:line="153" w:lineRule="exact"/>
              <w:rPr>
                <w:sz w:val="20"/>
                <w:szCs w:val="20"/>
                <w:color w:val="auto"/>
              </w:rPr>
            </w:pPr>
            <w:r>
              <w:rPr>
                <w:rFonts w:ascii="Arial" w:cs="Arial" w:eastAsia="Arial" w:hAnsi="Arial"/>
                <w:sz w:val="14"/>
                <w:szCs w:val="14"/>
                <w:b w:val="1"/>
                <w:bCs w:val="1"/>
                <w:color w:val="auto"/>
                <w:w w:val="90"/>
              </w:rPr>
              <w:t>Fiscal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Fiscal</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Fiscal</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80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2"/>
              </w:rPr>
              <w:t>2016-2017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2"/>
              </w:rPr>
              <w:t>2015-2016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2"/>
              </w:rPr>
              <w:t>2013-2014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2015-2016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5"/>
              </w:rPr>
              <w:t>2014-2015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2"/>
              </w:rPr>
              <w:t>2013-2014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4"/>
              </w:rPr>
              <w:t>Plan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4"/>
              </w:rPr>
              <w:t>Plan</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4"/>
              </w:rPr>
              <w:t>Plan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balance, June 30,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Charges (recovery), net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Foreign exchange impact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balance, September 29,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37"/>
        </w:trPr>
        <w:tc>
          <w:tcPr>
            <w:tcW w:w="4360" w:type="dxa"/>
            <w:vAlign w:val="bottom"/>
          </w:tcPr>
          <w:p>
            <w:pPr>
              <w:ind w:left="180"/>
              <w:spacing w:after="0"/>
              <w:rPr>
                <w:sz w:val="20"/>
                <w:szCs w:val="20"/>
                <w:color w:val="auto"/>
              </w:rPr>
            </w:pPr>
            <w:r>
              <w:rPr>
                <w:rFonts w:ascii="Arial" w:cs="Arial" w:eastAsia="Arial" w:hAnsi="Arial"/>
                <w:sz w:val="18"/>
                <w:szCs w:val="18"/>
                <w:color w:val="auto"/>
              </w:rPr>
              <w:t>(Recovery) charges, net</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Foreign exchange impact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balance, December 29,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(Recovery) charges, net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Foreign exchange impact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Accrual balance, March 30, 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As of March 30, 2018, $0.2 million of the accrual balance was in short-term restructuring liabilities while $0.3 million was included in other long-term liabilities on the unaudited condensed consolidated balance sheets. In January 2018, we reached an agreement with a certain foreign government which allowed us to reduce our estimated payments relating to the fiscal 2014-2015 restructuring plan by $0.3 million. We recorded this reduction in the second quarter of fiscal 2018.</w:t>
      </w:r>
    </w:p>
    <w:p>
      <w:pPr>
        <w:spacing w:after="0" w:line="133"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We have completed the restructuring activities under each of the plans referenced in the table above. Remaining payments for these plans will be paid through fiscal year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Equity</w:t>
      </w:r>
    </w:p>
    <w:p>
      <w:pPr>
        <w:spacing w:after="0" w:line="17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As of March 30, 2018, we had two stock incentive plans for our employees and nonemployee directors, the 2018 Incentive Plan and the 2007 Stock Equity Plan, as amended and restated effective November 13, 2015 (the “2007 Stock Plan”). The 2018 Incentive Plan was approved by the stockholders’ during the fiscal year 2017 Annual Stockholders’ Meeting and it added 500,000 shares to the equity pool of shares available to grant to employees. During the first nine months of fiscal 2018, we issued 785 shares of common stock under the Employee Stock Purchase Plan (ESPP), and 191 shares of common stock for options exercised.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96" w:right="239" w:bottom="1440" w:gutter="0" w:footer="0" w:header="0"/>
        </w:sectPr>
      </w:pPr>
    </w:p>
    <w:bookmarkStart w:id="14" w:name="page15"/>
    <w:bookmarkEnd w:id="14"/>
    <w:p>
      <w:pPr>
        <w:ind w:left="500"/>
        <w:spacing w:after="0"/>
        <w:rPr>
          <w:sz w:val="20"/>
          <w:szCs w:val="20"/>
          <w:color w:val="auto"/>
        </w:rPr>
      </w:pPr>
      <w:r>
        <w:rPr>
          <w:rFonts w:ascii="Arial" w:cs="Arial" w:eastAsia="Arial" w:hAnsi="Arial"/>
          <w:sz w:val="16"/>
          <w:szCs w:val="16"/>
          <w:color w:val="auto"/>
        </w:rPr>
        <w:t>Total compensation expense for share-based awards included in our unaudited condensed consolidated statements of operations was as follows: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1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30,</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30,</w:t>
            </w:r>
          </w:p>
        </w:tc>
        <w:tc>
          <w:tcPr>
            <w:tcW w:w="220" w:type="dxa"/>
            <w:vAlign w:val="bottom"/>
          </w:tcPr>
          <w:p>
            <w:pPr>
              <w:spacing w:after="0"/>
              <w:rPr>
                <w:sz w:val="13"/>
                <w:szCs w:val="13"/>
                <w:color w:val="auto"/>
              </w:rPr>
            </w:pPr>
          </w:p>
        </w:tc>
        <w:tc>
          <w:tcPr>
            <w:tcW w:w="104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gridSpan w:val="4"/>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2"/>
        </w:trPr>
        <w:tc>
          <w:tcPr>
            <w:tcW w:w="60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By Expense Category:</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43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Cost of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Selling and administrative</w:t>
            </w: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0"/>
        </w:trPr>
        <w:tc>
          <w:tcPr>
            <w:tcW w:w="606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By Types of Award:</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6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Restricted and performance stock awards and units</w:t>
            </w: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80" w:firstLine="486"/>
        <w:spacing w:after="0" w:line="259" w:lineRule="auto"/>
        <w:rPr>
          <w:sz w:val="20"/>
          <w:szCs w:val="20"/>
          <w:color w:val="auto"/>
        </w:rPr>
      </w:pPr>
      <w:r>
        <w:rPr>
          <w:rFonts w:ascii="Arial" w:cs="Arial" w:eastAsia="Arial" w:hAnsi="Arial"/>
          <w:sz w:val="18"/>
          <w:szCs w:val="18"/>
          <w:color w:val="auto"/>
        </w:rPr>
        <w:t>As of March 30, 2018, there was less than $0.1 million of total unrecognized compensation expense related to nonvested stock options granted under our 2007 Stock Plan. This expense is expected to be recognized over a weighted average period of 0.34 years. As of March 30, 2018, there was $2.0 million of total unrecognized compensation expense related to nonvested stock awards and units granted under our 2007 Stock Plan. This expense is expected to be recognized over a weighted average period of 0.97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and Geographic Information</w:t>
      </w:r>
    </w:p>
    <w:p>
      <w:pPr>
        <w:spacing w:after="0" w:line="175"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our Chief Operating Decision Maker.</w:t>
      </w:r>
    </w:p>
    <w:p>
      <w:pPr>
        <w:spacing w:after="0" w:line="127"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We report revenue by region and country based on the location where our customers accept delivery of our products and services. Revenue by region for the three and nine months ended March 30, 2018 and March 31, 2017 was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1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30,</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30,</w:t>
            </w:r>
          </w:p>
        </w:tc>
        <w:tc>
          <w:tcPr>
            <w:tcW w:w="220" w:type="dxa"/>
            <w:vAlign w:val="bottom"/>
          </w:tcPr>
          <w:p>
            <w:pPr>
              <w:spacing w:after="0"/>
              <w:rPr>
                <w:sz w:val="13"/>
                <w:szCs w:val="13"/>
                <w:color w:val="auto"/>
              </w:rPr>
            </w:pPr>
          </w:p>
        </w:tc>
        <w:tc>
          <w:tcPr>
            <w:tcW w:w="104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31,756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29,188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99,743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97,125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Africa and Middle East</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17,623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17,335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43,767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48,454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and Russia</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11,898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11,329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Latin America and Asia Pacific</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9,076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8,165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24,590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28,535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62,093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58,700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179,998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185,443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During the three and nine months ended March 30, 2018, Mobile Telephone Networks Group (MTN Group) accounted 17% and 14%, respectively, of our total revenue. During the three and nine months ended March 31, 2017, MTN Group accounted for 19% and 13%, respectively, of our total revenue. MTN Group accounted for 18% of our accounts receivable as of both March 30, 2018 and June 30, 2017. We have a contract with MTN Group, as well as separate arrangements with its various subsidiaries. The loss of all business from MTN Group, or any other significant customers, could adversely affect our results of operations, cash flows and financial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75" w:lineRule="exact"/>
        <w:rPr>
          <w:sz w:val="20"/>
          <w:szCs w:val="20"/>
          <w:color w:val="auto"/>
        </w:rPr>
      </w:pPr>
    </w:p>
    <w:p>
      <w:pPr>
        <w:ind w:right="200" w:firstLine="486"/>
        <w:spacing w:after="0" w:line="302"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Tax Cuts and Jobs Act (“Tax Act”). The Tax Act makes broad and complex changes to the U.S. tax code that will affect our fiscal year ending June 29, 2018, including, but not limited to, (1) reducing the U.S. federal corporate tax rate, (2) requiring a one-time transition tax on certain unrepatriated earnings of foreign subsidiaries that is payable over eight years, and (3) elimination of the corporate Alternative Minimum Tax (“AMT”). The Tax Act reduces the federal corporate tax rate to 21.0%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5" w:name="page16"/>
    <w:bookmarkEnd w:id="15"/>
    <w:p>
      <w:pPr>
        <w:ind w:right="440"/>
        <w:spacing w:after="0" w:line="308" w:lineRule="auto"/>
        <w:rPr>
          <w:sz w:val="20"/>
          <w:szCs w:val="20"/>
          <w:color w:val="auto"/>
        </w:rPr>
      </w:pPr>
      <w:r>
        <w:rPr>
          <w:rFonts w:ascii="Arial" w:cs="Arial" w:eastAsia="Arial" w:hAnsi="Arial"/>
          <w:sz w:val="17"/>
          <w:szCs w:val="17"/>
          <w:color w:val="auto"/>
        </w:rPr>
        <w:t>in the fiscal year ending June 29, 2018. Section 15 of the Internal Revenue Code stipulates that our fiscal year ending June 29, 2018 will have a blended corporate tax rate of 28.1%, which is based on the applicable tax rates before and after the Tax Act and the number of days in the year.</w:t>
      </w:r>
    </w:p>
    <w:p>
      <w:pPr>
        <w:spacing w:after="0" w:line="93" w:lineRule="exact"/>
        <w:rPr>
          <w:sz w:val="20"/>
          <w:szCs w:val="20"/>
          <w:color w:val="auto"/>
        </w:rPr>
      </w:pPr>
    </w:p>
    <w:p>
      <w:pPr>
        <w:ind w:right="300" w:firstLine="486"/>
        <w:spacing w:after="0" w:line="286" w:lineRule="auto"/>
        <w:rPr>
          <w:sz w:val="20"/>
          <w:szCs w:val="20"/>
          <w:color w:val="auto"/>
        </w:rPr>
      </w:pPr>
      <w:r>
        <w:rPr>
          <w:rFonts w:ascii="Arial" w:cs="Arial" w:eastAsia="Arial" w:hAnsi="Arial"/>
          <w:sz w:val="17"/>
          <w:szCs w:val="17"/>
          <w:color w:val="auto"/>
        </w:rPr>
        <w:t>Our effective tax rate varies from the U.S. federal statutory rate of 28.1% due to results of foreign operations that are subject to income taxes at different statutory rates, certain jurisdictions where we cannot recognize tax benefits on current losses, tax benefit from a foreign tax refund and release of valuation allowance. During interim periods, we accrue tax expenses for jurisdictions that are anticipated to be profitable for fiscal 2018.</w:t>
      </w:r>
    </w:p>
    <w:p>
      <w:pPr>
        <w:spacing w:after="0" w:line="111"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The determination of our tax benefit for the first nine months of fiscal 2018 and 2017 was based on our estimated annual effective tax rate adjusted for losses in certain jurisdictions for which no tax benefit can be recognized. The tax benefit for the first nine months of fiscal 2018 was primarily attributable to the foreign tax refunds received from the Inland Revenue Authority of Singapore (“IRAS”) of $1.3 million and the release of a valuation allowance related to the refundable AMT credit of $3.3 million as provided under the Tax Act, offset by tax expense related to profitable subsidiaries. The tax benefit for the first nine months of fiscal 2017 was primarily attributable to a foreign tax refund received from the IRAS of $3.7 million, offset by the tax expense related to profitable subsidiaries.</w:t>
      </w:r>
    </w:p>
    <w:p>
      <w:pPr>
        <w:spacing w:after="0" w:line="139" w:lineRule="exact"/>
        <w:rPr>
          <w:sz w:val="20"/>
          <w:szCs w:val="20"/>
          <w:color w:val="auto"/>
        </w:rPr>
      </w:pPr>
    </w:p>
    <w:p>
      <w:pPr>
        <w:ind w:right="160" w:firstLine="486"/>
        <w:spacing w:after="0" w:line="271" w:lineRule="auto"/>
        <w:rPr>
          <w:sz w:val="20"/>
          <w:szCs w:val="20"/>
          <w:color w:val="auto"/>
        </w:rPr>
      </w:pPr>
      <w:r>
        <w:rPr>
          <w:rFonts w:ascii="Arial" w:cs="Arial" w:eastAsia="Arial" w:hAnsi="Arial"/>
          <w:sz w:val="17"/>
          <w:szCs w:val="17"/>
          <w:color w:val="auto"/>
        </w:rPr>
        <w:t>During the fiscal year 2014, we received an assessment letter from IRAS related to deductions claimed in prior years and made a payment of $13.2 million related to tax years 2007 through 2010, reflecting all the taxes incrementally assessed by IRAS. Since the initial assessment, we continued to challenge this assessment. During the first quarter of fiscal 2017, we received an initial refund of $3.7 million from IRAS. During the first quarter of fiscal 2018, we received an additional refund of $1.3 million from IRAS which represents a final settlement. These refunds were recorded as a discrete tax benefit during the quarter the respective payment was received. During the second quarter of fiscal 2018, we recorded a valuation allowance release of $3.3 million related to refundable AMT credit under the Tax Act as a discrete benefit and recorded as a long-term receivable in our “Other assets” in our unaudited condensed consolidated balance sheet. Under the Tax Act, any carryforward AMT tax credits can be refunded if not fully utilized by fiscal year 2022. We expect to receive the refund of this tax benefit starting in our fiscal year 2020.</w:t>
      </w:r>
    </w:p>
    <w:p>
      <w:pPr>
        <w:spacing w:after="0" w:line="125" w:lineRule="exact"/>
        <w:rPr>
          <w:sz w:val="20"/>
          <w:szCs w:val="20"/>
          <w:color w:val="auto"/>
        </w:rPr>
      </w:pPr>
    </w:p>
    <w:p>
      <w:pPr>
        <w:jc w:val="both"/>
        <w:ind w:right="120" w:firstLine="486"/>
        <w:spacing w:after="0" w:line="264" w:lineRule="auto"/>
        <w:rPr>
          <w:sz w:val="20"/>
          <w:szCs w:val="20"/>
          <w:color w:val="auto"/>
        </w:rPr>
      </w:pPr>
      <w:r>
        <w:rPr>
          <w:rFonts w:ascii="Arial" w:cs="Arial" w:eastAsia="Arial" w:hAnsi="Arial"/>
          <w:sz w:val="18"/>
          <w:szCs w:val="18"/>
          <w:color w:val="auto"/>
        </w:rPr>
        <w:t>We have a number of years with open tax audits which vary from jurisdiction to jurisdiction. Our major tax jurisdictions include the U.S., Singapore, Nigeria and the Ivory Coast. The earliest years that are open and subject to potential audits for these jurisdictions are as follows: U.S. — 2003; Singapore — 2011; Nigeria — 2011, and Ivory Coast — 2016.</w:t>
      </w:r>
    </w:p>
    <w:p>
      <w:pPr>
        <w:spacing w:after="0" w:line="127"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federal, foreign and state income taxes. Such interest expense was not material for the three and nine months ended March 30, 2018 and March 31, 2017.</w:t>
      </w:r>
    </w:p>
    <w:p>
      <w:pPr>
        <w:spacing w:after="0" w:line="116"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The SEC staff issued Staff Accounting Bulletin (“SAB”) No.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its financial statements. If a company cannot determine a provisional estimate to be included in its financial statements, it should continue to apply ASC 740 on the basis of the provisions of the tax laws that were in effect immediately before the enactment of the Tax Act.</w:t>
      </w:r>
    </w:p>
    <w:p>
      <w:pPr>
        <w:spacing w:after="0" w:line="135" w:lineRule="exact"/>
        <w:rPr>
          <w:sz w:val="20"/>
          <w:szCs w:val="20"/>
          <w:color w:val="auto"/>
        </w:rPr>
      </w:pPr>
    </w:p>
    <w:p>
      <w:pPr>
        <w:ind w:right="300" w:firstLine="486"/>
        <w:spacing w:after="0" w:line="273" w:lineRule="auto"/>
        <w:rPr>
          <w:sz w:val="20"/>
          <w:szCs w:val="20"/>
          <w:color w:val="auto"/>
        </w:rPr>
      </w:pPr>
      <w:r>
        <w:rPr>
          <w:rFonts w:ascii="Arial" w:cs="Arial" w:eastAsia="Arial" w:hAnsi="Arial"/>
          <w:sz w:val="17"/>
          <w:szCs w:val="17"/>
          <w:color w:val="auto"/>
        </w:rPr>
        <w:t>In connection with our initial analysis of the impact of the Tax Act, we have recorded a discrete net tax benefit of $3.3 million in the period ended December 29, 2017. This net benefit relates to a valuation allowance release of refundable AMT credit. For various reasons that are discussed more fully below, we have not fully completed our accounting for the income tax effects of certain elements of the Tax Act. If we were able to make reasonable estimates of the effects of elements for which our analysis is not yet complete, we recorded provisional adjustments. If we were not yet able to make reasonable estimates of the impact of certain elements, we have not recorded any adjustments related to those elements and have continued accounting for them in accordance with ASC 740 on the basis of the tax laws in effect before the Tax Act.</w:t>
      </w:r>
    </w:p>
    <w:p>
      <w:pPr>
        <w:spacing w:after="0" w:line="124"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Our accounting for the following elements of the Tax Act is incomplete. However, we were able to make reasonable estimates of certain effects and, therefore, recorded provisional adjustments as follows:</w:t>
      </w:r>
    </w:p>
    <w:p>
      <w:pPr>
        <w:spacing w:after="0" w:line="116"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i w:val="1"/>
          <w:iCs w:val="1"/>
          <w:color w:val="auto"/>
        </w:rPr>
        <w:t xml:space="preserve">Reduction of U.S. Federal Corporate Tax Rate: </w:t>
      </w:r>
      <w:r>
        <w:rPr>
          <w:rFonts w:ascii="Arial" w:cs="Arial" w:eastAsia="Arial" w:hAnsi="Arial"/>
          <w:sz w:val="18"/>
          <w:szCs w:val="18"/>
          <w:color w:val="auto"/>
        </w:rPr>
        <w:t>The Tax Act reduces the corporate tax rate to 21.0%, effective January 1, 2018. For certain deferred tax</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deferred tax liabilities, we have recorded a provisional decrease of $53.8 million with a corresponding net adjustment to valuation allowance of $53.8 million for the period ended December 29, 2017. While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746" w:right="259" w:bottom="1440" w:gutter="0" w:footer="0" w:header="0"/>
        </w:sectPr>
      </w:pPr>
    </w:p>
    <w:bookmarkStart w:id="16" w:name="page17"/>
    <w:bookmarkEnd w:id="16"/>
    <w:p>
      <w:pPr>
        <w:ind w:right="160"/>
        <w:spacing w:after="0" w:line="264" w:lineRule="auto"/>
        <w:rPr>
          <w:sz w:val="20"/>
          <w:szCs w:val="20"/>
          <w:color w:val="auto"/>
        </w:rPr>
      </w:pPr>
      <w:r>
        <w:rPr>
          <w:rFonts w:ascii="Arial" w:cs="Arial" w:eastAsia="Arial" w:hAnsi="Arial"/>
          <w:sz w:val="18"/>
          <w:szCs w:val="18"/>
          <w:color w:val="auto"/>
        </w:rPr>
        <w:t>we are able to make a reasonable estimate of the impact of the reduction in the corporate rate, such estimate may be affected by other analyses related to the Tax Act, including, but not limited to, our calculation of deemed repatriation of deferred foreign income and the state tax effect of adjustments made to federal temporary differences.</w:t>
      </w:r>
    </w:p>
    <w:p>
      <w:pPr>
        <w:spacing w:after="0" w:line="12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i w:val="1"/>
          <w:iCs w:val="1"/>
          <w:color w:val="auto"/>
        </w:rPr>
        <w:t xml:space="preserve">Deemed Repatriation Transition Tax: </w:t>
      </w:r>
      <w:r>
        <w:rPr>
          <w:rFonts w:ascii="Arial" w:cs="Arial" w:eastAsia="Arial" w:hAnsi="Arial"/>
          <w:sz w:val="18"/>
          <w:szCs w:val="18"/>
          <w:color w:val="auto"/>
        </w:rPr>
        <w:t>The Deemed Repatriation Transition Tax (“Transition Tax”) is a tax on previously untaxed accumulated and</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earnings and profits (“E&amp;P”) of certain foreign subsidiaries. To determine the amount of the Transition Tax, we must determine, in addition to other factors, the amount of post-1986 E&amp;P of our relevant subsidiaries, as well as the amount of non-U.S. income taxes paid on such earnings. We are able to make a reasonable estimate of the Transition Tax and currently do not believe we will be charged this tax, due to preliminary calculations of net negative E&amp;P for our foreign subsidiaries subjected to this tax. However, we are continuing to gather additional information to more precisely compute the amount of the Transition Tax.</w:t>
      </w:r>
    </w:p>
    <w:p>
      <w:pPr>
        <w:spacing w:after="0" w:line="139"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Our accounting for the following elements of the Tax Act is incomplete, and we are not yet able to make reasonable estimates of the effects. Therefore, no provisional adjustments have been recorded.</w:t>
      </w:r>
    </w:p>
    <w:p>
      <w:pPr>
        <w:spacing w:after="0" w:line="116"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i w:val="1"/>
          <w:iCs w:val="1"/>
          <w:color w:val="auto"/>
        </w:rPr>
        <w:t xml:space="preserve">Global Intangible Low Taxed Income (“GILTI”): </w:t>
      </w:r>
      <w:r>
        <w:rPr>
          <w:rFonts w:ascii="Arial" w:cs="Arial" w:eastAsia="Arial" w:hAnsi="Arial"/>
          <w:sz w:val="18"/>
          <w:szCs w:val="18"/>
          <w:color w:val="auto"/>
        </w:rPr>
        <w:t>The Tax Act creates a new requirement that certain income (i.e., GILTI) earned by controlled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(“CFCs”) must be included currently in the gross income of the CFCs’ U.S. shareholder. GILTI is the excess of the shareholder’s “net CFC tested income” over the net deemed tangible income return, which is currently defined as the excess of, (1) 10.0% of the aggregate of the U.S. shareholder’s pro-rata share of the qualified business asset investment of each CFC with respect to which it is a U.S. shareholder, (2) the amount of certain interest expense taken into account in the determination of net CFC-tested income.</w:t>
      </w:r>
    </w:p>
    <w:p>
      <w:pPr>
        <w:spacing w:after="0" w:line="134"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Because of the complexity of the new GILTI tax rules, we are continuing to evaluate this provision of the Tax Act and the application of ASC 740. Under U.S. GAAP, we are allowed to make an accounting policy choice of either, (1) treating taxes due on future U.S. inclusions in taxable income related to GILTI as a current-period expense when incurred (the “period cost method”) or, (2) factoring such amounts into a company’s measurement of its deferred taxed (the “deferred method”). Our selection of an accounting policy with respect to the new GILTI tax rules will depend, in part, on analyzing our global income to determine whether we expect to have future U.S. inclusions in taxable income related to GILTI and, if so, what the impact is expected to be. Because whether we expect to have future U.S. inclusions in taxable income related to GILTI depends on not only our current structure and estimated future results of global operations but also our intent and ability to modify our structure and/or our business, we are not yet able to reasonably estimate the effect of this provision of the Tax Act. Therefore, we have not made any adjustments related to the potential GILTI tax in our financial statements and have not made a policy decision regarding whether to record deferred taxes on GILTI.</w:t>
      </w:r>
    </w:p>
    <w:p>
      <w:pPr>
        <w:spacing w:after="0" w:line="128"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i w:val="1"/>
          <w:iCs w:val="1"/>
          <w:color w:val="auto"/>
        </w:rPr>
        <w:t xml:space="preserve">Valuation Allowances: </w:t>
      </w:r>
      <w:r>
        <w:rPr>
          <w:rFonts w:ascii="Arial" w:cs="Arial" w:eastAsia="Arial" w:hAnsi="Arial"/>
          <w:sz w:val="18"/>
          <w:szCs w:val="18"/>
          <w:color w:val="auto"/>
        </w:rPr>
        <w:t>The company must assess whether valuation allowance assessments are affected by various aspects of the Tax Act (e.g., deemed</w:t>
      </w:r>
      <w:r>
        <w:rPr>
          <w:rFonts w:ascii="Arial" w:cs="Arial" w:eastAsia="Arial" w:hAnsi="Arial"/>
          <w:sz w:val="18"/>
          <w:szCs w:val="18"/>
          <w:i w:val="1"/>
          <w:iCs w:val="1"/>
          <w:color w:val="auto"/>
        </w:rPr>
        <w:t xml:space="preserve"> </w:t>
      </w:r>
      <w:r>
        <w:rPr>
          <w:rFonts w:ascii="Arial" w:cs="Arial" w:eastAsia="Arial" w:hAnsi="Arial"/>
          <w:sz w:val="18"/>
          <w:szCs w:val="18"/>
          <w:color w:val="auto"/>
        </w:rPr>
        <w:t>repatriation of deferred foreign income, GILTI inclusions, new categories of FTCs, AMT repeal). During the second quarter of fiscal 2018, we recorded a valuation allowance release of $3.3 million related to refundable AMT credit under the Tax Act as a discrete benefit. Under the Tax Act, any carryforward AMT tax credits can be refunded if not fully utilized by fiscal year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71"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We lease office and manufacturing facilities under non-cancelable operating leases expiring at various dates through 2024. We lease approximately 19,000 square feet of office space in Milpitas, California as our corporate headquarters.</w:t>
      </w:r>
    </w:p>
    <w:p>
      <w:pPr>
        <w:spacing w:after="0" w:line="116"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As of March 30, 2018, our future minimum lease payments under all non-cancelable operating leases with an initial lease term in excess of one year were as follows: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746" w:right="2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2"/>
        </w:trPr>
        <w:tc>
          <w:tcPr>
            <w:tcW w:w="9820" w:type="dxa"/>
            <w:vAlign w:val="bottom"/>
          </w:tcPr>
          <w:p>
            <w:pPr>
              <w:ind w:left="40"/>
              <w:spacing w:after="0"/>
              <w:rPr>
                <w:sz w:val="20"/>
                <w:szCs w:val="20"/>
                <w:color w:val="auto"/>
              </w:rPr>
            </w:pPr>
            <w:r>
              <w:rPr>
                <w:rFonts w:ascii="Arial" w:cs="Arial" w:eastAsia="Arial" w:hAnsi="Arial"/>
                <w:sz w:val="14"/>
                <w:szCs w:val="14"/>
                <w:b w:val="1"/>
                <w:bCs w:val="1"/>
                <w:color w:val="auto"/>
              </w:rPr>
              <w:t>Fiscal Years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Amounts</w:t>
            </w:r>
          </w:p>
        </w:tc>
      </w:tr>
      <w:tr>
        <w:trPr>
          <w:trHeight w:val="196"/>
        </w:trPr>
        <w:tc>
          <w:tcPr>
            <w:tcW w:w="9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(one quarter remaining)</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583</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1,843</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1,232</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928</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2,023</w:t>
            </w:r>
          </w:p>
        </w:tc>
      </w:tr>
      <w:tr>
        <w:trPr>
          <w:trHeight w:val="27"/>
        </w:trPr>
        <w:tc>
          <w:tcPr>
            <w:tcW w:w="9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6,817</w:t>
            </w:r>
          </w:p>
        </w:tc>
      </w:tr>
      <w:tr>
        <w:trPr>
          <w:trHeight w:val="20"/>
        </w:trPr>
        <w:tc>
          <w:tcPr>
            <w:tcW w:w="9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86"/>
        <w:spacing w:after="0" w:line="312" w:lineRule="auto"/>
        <w:rPr>
          <w:sz w:val="20"/>
          <w:szCs w:val="20"/>
          <w:color w:val="auto"/>
        </w:rPr>
      </w:pPr>
      <w:r>
        <w:rPr>
          <w:rFonts w:ascii="Arial" w:cs="Arial" w:eastAsia="Arial" w:hAnsi="Arial"/>
          <w:sz w:val="16"/>
          <w:szCs w:val="16"/>
          <w:color w:val="auto"/>
        </w:rPr>
        <w:t>These commitments do not contain any material rent escalations, rent holidays, contingent rent, rent concessions, leasehold improvement incentives or unusual provisions or conditions. We sublease a portion of our facilities to third parties and the total minimum rents to be received in the future under our non-cancelable subleases were $0.1 million as of March 30, 2018. The future minimum lease payments are not reduced by the minimum sublease rents.</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Rental expense for operating leases, including rentals on a month-to-month basis,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8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0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1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March 30,</w:t>
            </w:r>
          </w:p>
        </w:tc>
        <w:tc>
          <w:tcPr>
            <w:tcW w:w="20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March 30,</w:t>
            </w:r>
          </w:p>
        </w:tc>
        <w:tc>
          <w:tcPr>
            <w:tcW w:w="220" w:type="dxa"/>
            <w:vAlign w:val="bottom"/>
          </w:tcPr>
          <w:p>
            <w:pPr>
              <w:spacing w:after="0"/>
              <w:rPr>
                <w:sz w:val="13"/>
                <w:szCs w:val="13"/>
                <w:color w:val="auto"/>
              </w:rPr>
            </w:pPr>
          </w:p>
        </w:tc>
        <w:tc>
          <w:tcPr>
            <w:tcW w:w="1040" w:type="dxa"/>
            <w:vAlign w:val="bottom"/>
          </w:tcPr>
          <w:p>
            <w:pPr>
              <w:jc w:val="center"/>
              <w:ind w:right="182"/>
              <w:spacing w:after="0" w:line="153"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Rent expense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906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2,804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Orders and Other Commitments</w:t>
      </w:r>
    </w:p>
    <w:p>
      <w:pPr>
        <w:spacing w:after="0" w:line="171"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March 30, 2018, we had outstanding purchase obligations with our suppliers or contract manufacturers of $20.0 million. In addition, we had contractual obligations of approximately $0.3 million associated with software licenses as of March 30,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Guarantees and Commercial Commitments</w:t>
      </w:r>
    </w:p>
    <w:p>
      <w:pPr>
        <w:spacing w:after="0" w:line="171"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March 30, 2018, we had no guarantees applicable to our debt arrangements.</w:t>
      </w:r>
    </w:p>
    <w:p>
      <w:pPr>
        <w:spacing w:after="0" w:line="11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March 30, 2018, we had commercial commitments of $54.7 million outstanding that were not recorded on our unaudited condensed consolidated balance sheets. We do not believe, based on historical experience and information currently available, that it is probable that any significant amounts will be required to be paid on the performance guarantees in the future.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3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Under the terms of substantially all of our license agreements, we have agreed to defend and pay any final judgment against our customers arising from claims against such customers that our products infringe the intellectual property rights of a third party. As of March 30, 2018, we have not received any notices that any customer is subject to an infringement claim arising from the use of our products; we have not received any requests to defend any customers from infringement claims arising from the use of our products; and we have not paid any final judgment on behalf of any customer related to an infringement claim arising from the use of our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March 30, 2018, we had not recorded any liabilities related to these indemnifications.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are subject from time to time to disputes with customers concerning our products and services. In May 2016, we received notification of a claim for $1.0 million in damages from a customer in Austria alleging that certain of our products were defective. We are continuing to investigate this claim, and at this time an estimate of the reasonably possible loss or range of loss cannot be made. We believe that we have numerous contractual and legal defenses to these disputes, and we intend to dispute them vigorously.</w:t>
      </w:r>
    </w:p>
    <w:p>
      <w:pPr>
        <w:spacing w:after="0" w:line="133"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litigations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24"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such legal claims or litigation discussed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71"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We record a loss contingency as a charge to operations when (i) it is probable that an asset has been impaired or a liability has been incurred at the date of the unaudited condensed consolidated financial statements; and (ii) the amount of the loss can be reasonably estimated. Disclosure in the notes to the unaudited condensed consolidated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34"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unaudited condensed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w:t>
      </w:r>
    </w:p>
    <w:p>
      <w:pPr>
        <w:spacing w:after="0" w:line="175"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On May 13, 2018, our Board of Directors authorized a stock repurchase program. Under the program, we may purchase up to $7.5 million of our common stock beginning May 17, 2018. We intend to repurchase shares through authorized Rule 10b5-1 plans (which would permit us to repurchase shares when we might otherwise be precluded from doing so under insider trading laws), open market purchases, privately-negotiated transactions, block purchases or otherwise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19" w:name="page20"/>
    <w:bookmarkEnd w:id="19"/>
    <w:p>
      <w:pPr>
        <w:ind w:right="40"/>
        <w:spacing w:after="0" w:line="308" w:lineRule="auto"/>
        <w:rPr>
          <w:sz w:val="20"/>
          <w:szCs w:val="20"/>
          <w:color w:val="auto"/>
        </w:rPr>
      </w:pPr>
      <w:r>
        <w:rPr>
          <w:rFonts w:ascii="Arial" w:cs="Arial" w:eastAsia="Arial" w:hAnsi="Arial"/>
          <w:sz w:val="17"/>
          <w:szCs w:val="17"/>
          <w:color w:val="auto"/>
        </w:rPr>
        <w:t>in accordance with applicable federal securities laws, including Rule 10b-18 of the Security Exchange Act of 1934. We may choose to suspend or discontinue the repurchase program at any time. The repurchase program does not obligate us to purchase any particular number of shares.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right="80" w:firstLine="486"/>
        <w:spacing w:after="0" w:line="259" w:lineRule="auto"/>
        <w:rPr>
          <w:sz w:val="20"/>
          <w:szCs w:val="20"/>
          <w:color w:val="auto"/>
        </w:rPr>
      </w:pPr>
      <w:r>
        <w:rPr>
          <w:rFonts w:ascii="Arial" w:cs="Arial" w:eastAsia="Arial" w:hAnsi="Arial"/>
          <w:sz w:val="18"/>
          <w:szCs w:val="18"/>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w:t>
      </w:r>
    </w:p>
    <w:p>
      <w:pPr>
        <w:spacing w:after="0" w:line="13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could be deemed to be forward-looking statements, including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24"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the Company.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but are not limited to, the following:</w:t>
      </w:r>
    </w:p>
    <w:p>
      <w:pPr>
        <w:spacing w:after="0" w:line="26"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price and margin erosion as a result of increased competition in the microwave transmission industry;</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financial covenant requirements which could impact, among other things, our liquidity;</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timing of our receipt of payment for products or services from our customers;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63" w:lineRule="exact"/>
        <w:rPr>
          <w:rFonts w:ascii="Arial" w:cs="Arial" w:eastAsia="Arial" w:hAnsi="Arial"/>
          <w:sz w:val="18"/>
          <w:szCs w:val="18"/>
          <w:i w:val="1"/>
          <w:iCs w:val="1"/>
          <w:color w:val="auto"/>
        </w:rPr>
      </w:pPr>
    </w:p>
    <w:p>
      <w:pPr>
        <w:ind w:left="980" w:right="54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suppliers’ inability to perform and deliver on time as a result of their financial condition, component shortages or other supply chain constraints;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customer acceptance of new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ability of our subcontractors to timely perform;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continued weakness in the global economy affecting customer spending;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retention of our key personnel;</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manage and maintain key customer relationships;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results of our restructuring efforts;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to preserve and use our net operating loss carryforwards;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currency and interest rate risks;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conduct of unethical business practices in developing countries; and</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political turmoil in countries where we have significant business.</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our fiscal 2017 Annual Report on Form 10-K filed with the SEC on September 6, 2017 for more information regarding factors that may cause our results to differ materially from those expressed or implied by the forward-looking statements contained in this Quarterly Report on Form 10-Q.</w:t>
      </w:r>
    </w:p>
    <w:p>
      <w:pPr>
        <w:spacing w:after="0" w:line="127" w:lineRule="exact"/>
        <w:rPr>
          <w:sz w:val="20"/>
          <w:szCs w:val="20"/>
          <w:color w:val="auto"/>
        </w:rPr>
      </w:pPr>
    </w:p>
    <w:p>
      <w:pPr>
        <w:jc w:val="both"/>
        <w:ind w:right="20" w:firstLine="486"/>
        <w:spacing w:after="0" w:line="302" w:lineRule="auto"/>
        <w:rPr>
          <w:sz w:val="20"/>
          <w:szCs w:val="20"/>
          <w:color w:val="auto"/>
        </w:rPr>
      </w:pPr>
      <w:r>
        <w:rPr>
          <w:rFonts w:ascii="Arial" w:cs="Arial" w:eastAsia="Arial" w:hAnsi="Arial"/>
          <w:sz w:val="16"/>
          <w:szCs w:val="16"/>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undertake no obligation, other than as imposed by law, to update any forward-looking statements to</w:t>
      </w:r>
    </w:p>
    <w:p>
      <w:pPr>
        <w:sectPr>
          <w:pgSz w:w="11900" w:h="16838" w:orient="portrait"/>
          <w:cols w:equalWidth="0" w:num="1">
            <w:col w:w="11420"/>
          </w:cols>
          <w:pgMar w:left="240" w:top="746"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746" w:right="239" w:bottom="1440" w:gutter="0" w:footer="0" w:header="0"/>
          <w:type w:val="continuous"/>
        </w:sectPr>
      </w:pPr>
    </w:p>
    <w:bookmarkStart w:id="20" w:name="page21"/>
    <w:bookmarkEnd w:id="20"/>
    <w:p>
      <w:pPr>
        <w:spacing w:after="0" w:line="62"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reflect further developments or information obtained after the date of filing of this Quarterly Report on Form 10-Q or, in the case of any document incorporated by reference, the date of that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Operating Environment and Key Factors Impacting Fiscal 2018 and 2017 Results</w:t>
      </w:r>
    </w:p>
    <w:p>
      <w:pPr>
        <w:spacing w:after="0" w:line="17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our results of operations and financial condition. MD&amp;A is provided as a supplement to, and should be read in conjunction with, our unaudited condensed consolidated financial statements and the accompanying notes. In the discussion herein, our fiscal year ending June 29, 2018 is referred to as “fiscal 2018” or “2018” and our fiscal year ended June 30, 2017 is referred to as “fiscal 2017” or “2017”.</w:t>
      </w:r>
    </w:p>
    <w:p>
      <w:pPr>
        <w:spacing w:after="0" w:line="133"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We design, manufacture and sell a range of wireless networking products, solutions and services to mobile and fixed public network operators, federal, state and local government agencies, transportation, energy and utility companies, public safety agencies and broadcast network operations around the world. Our products utilize microwave and millimeter wave technologies to create point to point wireless links for short, medium and long distance interconnections. Our wireless systems deliver urban, suburban, regional and country-wide communication links as the primary alternative to fiber optic connections. In dense urban and suburban areas, short range wireless solutions are faster to deploy and lower cost per mile than new fiber deployments. In developing nations, fiber infrastructure is scarce and wireless systems are used for both long and short distance connections. Wireless systems are easier to implement than optical fiber in areas with rugged terrain, and are able to provide connections over bodies of water, such as between islands or between oil and gas production platforms. We also provide network management software solutions to enable operators to deploy, monitor and manage our systems, third party equipment such as antennas, routers, optical transmission equipment and other equipment necessary to build and deploy a complete telecommunications transmission network. We provide a full suite of professional services for planning, deployment, operations and maintenance of our customers’ networks.</w:t>
      </w:r>
    </w:p>
    <w:p>
      <w:pPr>
        <w:spacing w:after="0" w:line="115"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We work continuously to improve our established brands and to create new products that meet our customers’ evolving needs and preferences. Our fundamental business goal is to generate superior returns for our stockholders over the long term. We believe that increases in revenue, operating profits and earnings per share are the key measures of financial performance for our business. However, within the industry there continues to be strong price competition for new business and periodic large customer consolidations that intensify competition in all regions.</w:t>
      </w:r>
    </w:p>
    <w:p>
      <w:pPr>
        <w:spacing w:after="0" w:line="117"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Our strategic focus is to continue to accelerate innovation and optimize our product portfolio, improve costs and operational efficiencies, grow our revenue and create a sustainable, profitable business model. To do this, we continue to examine our products, markets, facilities, development programs, and operational flows to ensure we are focused on what we do well and what will differentiate us in the future. We will continue working to streamline management processes to attain the efficiency levels required by the markets in which we do business.</w:t>
      </w:r>
    </w:p>
    <w:p>
      <w:pPr>
        <w:spacing w:after="0" w:line="133"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Although the general trend of increasing bandwidth to support communication networks applies in all markets and creates demand for our solutions, we expect to see quarter-to-quarter fluctuations within markets and with individual customers based on customers’ past purchasing patterns. Seasonality is also a factor that impacts our business. Our fiscal third quarter revenue and orders have historically been lower than the revenue and orders in our second fiscal quarter because many of our customers utilize a significant portion of their capital budgets at the end of their fiscal years, which is typically the calendar year end and coincides with our second fiscal quarter. The majority of our customers begin a new fiscal year on January 1, and capital expenditures tend to be lower in an organization’s first quarter than in its fourth quarter. We anticipate that this seasonality will continue. The seasonality between the second quarter and third quarter may be affected by a variety of additional factors, including changes in the global economy.</w:t>
      </w:r>
    </w:p>
    <w:p>
      <w:pPr>
        <w:spacing w:after="0" w:line="113" w:lineRule="exact"/>
        <w:rPr>
          <w:sz w:val="20"/>
          <w:szCs w:val="20"/>
          <w:color w:val="auto"/>
        </w:rPr>
      </w:pPr>
    </w:p>
    <w:p>
      <w:pPr>
        <w:jc w:val="both"/>
        <w:ind w:right="240" w:firstLine="486"/>
        <w:spacing w:after="0" w:line="259" w:lineRule="auto"/>
        <w:rPr>
          <w:sz w:val="20"/>
          <w:szCs w:val="20"/>
          <w:color w:val="auto"/>
        </w:rPr>
      </w:pPr>
      <w:r>
        <w:rPr>
          <w:rFonts w:ascii="Arial" w:cs="Arial" w:eastAsia="Arial" w:hAnsi="Arial"/>
          <w:sz w:val="18"/>
          <w:szCs w:val="18"/>
          <w:color w:val="auto"/>
        </w:rPr>
        <w:t>In line with industry trends, we expect to provide increased managed services, including network design, inventory management, final configuration and warehousing services, to certain customers in certain geographies. Our operating results may be impacted by providing these services to the extent that we may need to postpone the recognition of revenue and incur upfront and ongoing expenses that are not offset with additional revenue from product sales associated with these services until a future period.</w:t>
      </w:r>
    </w:p>
    <w:p>
      <w:pPr>
        <w:spacing w:after="0" w:line="133"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We continue to explore strategic alternatives to improve the market position and profitability of our product offerings in the marketplace, generate additional liquidity and enhance our valuation. We may pursue our goals during the next twelve months through organic growth and through strategic alternatives. Some of these alternatives have included, and could continue to include, selective acquisitions of business segments or entire businesses, divestitures, the sale of assets or securities, a sale or merger of our company or a restructuring of our company. We have also provided, and may from time to time in the future provide, information to interested parties.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Review</w:t>
      </w:r>
    </w:p>
    <w:p>
      <w:pPr>
        <w:spacing w:after="0" w:line="175"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The market for mobile backhaul continues to be our primary addressable market segment and, over the long term, the demand for increasing the backhaul capacity in our customers’ networks continues to grow. In North America, we supported long-term evolution (“LTE”) deployments of our mobile operator customers, public safety network deployments for state and local governments, and private network implementations for utilities and other customers. In international markets, our business continued to rely on a combination of customers increasing their capacity to handle subscriber growth, the ongoing build-out of some large 3G deployments, and the emergence of early stage LTE deployments. Our international business continues to be affected by fluctuations in currency valuation relative to the U.S. dollar, which may limit local purchasing power and capital spending, slow the payments from customers in those affected locations and cause variations in our overall operating costs. Our position continues to be to support our customers for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our fiscal 2017 Annual Report on Form 10-K, a number of factors could prevent us from achieving our objectives, including ongoing pricing pressures attributable to competition and macroeconomic conditions in the geographic markets that we service.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We manage our sales activities primarily on a geographic basis in North America and three international geographic regions: (1) Africa and the Middle East, (2) Europe and Russia, and (3) Latin America and Asia Pacific. Revenue by region for the three and nine months ended March 30, 2018 and March 31, 2017 and the related changes were shown in the table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2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thousands, except</w:t>
            </w:r>
          </w:p>
        </w:tc>
        <w:tc>
          <w:tcPr>
            <w:tcW w:w="120" w:type="dxa"/>
            <w:vAlign w:val="bottom"/>
          </w:tcPr>
          <w:p>
            <w:pPr>
              <w:spacing w:after="0"/>
              <w:rPr>
                <w:sz w:val="12"/>
                <w:szCs w:val="12"/>
                <w:color w:val="auto"/>
              </w:rPr>
            </w:pPr>
          </w:p>
        </w:tc>
        <w:tc>
          <w:tcPr>
            <w:tcW w:w="11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6"/>
              </w:rPr>
              <w:t>March 30, 2018</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6"/>
              </w:rPr>
              <w:t>March 31, 2017</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vMerge w:val="restart"/>
          </w:tcPr>
          <w:p>
            <w:pPr>
              <w:spacing w:after="0"/>
              <w:rPr>
                <w:sz w:val="12"/>
                <w:szCs w:val="12"/>
                <w:color w:val="auto"/>
              </w:rPr>
            </w:pPr>
          </w:p>
        </w:tc>
        <w:tc>
          <w:tcPr>
            <w:tcW w:w="10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1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6"/>
              </w:rPr>
              <w:t>March 30, 2018</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March 31, 2017</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vMerge w:val="restart"/>
          </w:tcPr>
          <w:p>
            <w:pPr>
              <w:spacing w:after="0"/>
              <w:rPr>
                <w:sz w:val="12"/>
                <w:szCs w:val="12"/>
                <w:color w:val="auto"/>
              </w:rPr>
            </w:pP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percentages)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31,756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29,188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2,568</w:t>
            </w:r>
          </w:p>
        </w:tc>
        <w:tc>
          <w:tcPr>
            <w:tcW w:w="12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ind w:left="600"/>
              <w:spacing w:after="0"/>
              <w:rPr>
                <w:sz w:val="20"/>
                <w:szCs w:val="20"/>
                <w:color w:val="auto"/>
              </w:rPr>
            </w:pPr>
            <w:r>
              <w:rPr>
                <w:rFonts w:ascii="Arial" w:cs="Arial" w:eastAsia="Arial" w:hAnsi="Arial"/>
                <w:sz w:val="14"/>
                <w:szCs w:val="14"/>
                <w:color w:val="auto"/>
              </w:rPr>
              <w:t>8.8 %   $</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99,743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97,125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2,618</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0" w:type="dxa"/>
            <w:vAlign w:val="bottom"/>
          </w:tcPr>
          <w:p>
            <w:pPr>
              <w:spacing w:after="0"/>
              <w:rPr>
                <w:sz w:val="1"/>
                <w:szCs w:val="1"/>
                <w:color w:val="auto"/>
              </w:rPr>
            </w:pPr>
          </w:p>
        </w:tc>
      </w:tr>
      <w:tr>
        <w:trPr>
          <w:trHeight w:val="264"/>
        </w:trPr>
        <w:tc>
          <w:tcPr>
            <w:tcW w:w="1920" w:type="dxa"/>
            <w:vAlign w:val="bottom"/>
          </w:tcPr>
          <w:p>
            <w:pPr>
              <w:ind w:left="40"/>
              <w:spacing w:after="0"/>
              <w:rPr>
                <w:sz w:val="20"/>
                <w:szCs w:val="20"/>
                <w:color w:val="auto"/>
              </w:rPr>
            </w:pPr>
            <w:r>
              <w:rPr>
                <w:rFonts w:ascii="Arial" w:cs="Arial" w:eastAsia="Arial" w:hAnsi="Arial"/>
                <w:sz w:val="14"/>
                <w:szCs w:val="14"/>
                <w:color w:val="auto"/>
              </w:rPr>
              <w:t>Africa and Middle East</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17,623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17,335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22"/>
                <w:szCs w:val="22"/>
                <w:color w:val="auto"/>
              </w:rPr>
            </w:pPr>
          </w:p>
        </w:tc>
        <w:tc>
          <w:tcPr>
            <w:tcW w:w="1000" w:type="dxa"/>
            <w:vAlign w:val="bottom"/>
          </w:tcPr>
          <w:p>
            <w:pPr>
              <w:ind w:left="600"/>
              <w:spacing w:after="0"/>
              <w:rPr>
                <w:sz w:val="20"/>
                <w:szCs w:val="20"/>
                <w:color w:val="auto"/>
              </w:rPr>
            </w:pPr>
            <w:r>
              <w:rPr>
                <w:rFonts w:ascii="Arial" w:cs="Arial" w:eastAsia="Arial" w:hAnsi="Arial"/>
                <w:sz w:val="14"/>
                <w:szCs w:val="14"/>
                <w:color w:val="auto"/>
              </w:rPr>
              <w:t>1.7 %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43,767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48,454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(4,687)</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63"/>
        </w:trPr>
        <w:tc>
          <w:tcPr>
            <w:tcW w:w="1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746" w:right="2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Europe and Russia</w:t>
            </w: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3,638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4,012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1600" w:type="dxa"/>
            <w:vAlign w:val="bottom"/>
            <w:tcBorders>
              <w:bottom w:val="single" w:sz="8" w:color="CCEEFF"/>
            </w:tcBorders>
            <w:gridSpan w:val="2"/>
            <w:shd w:val="clear" w:color="auto" w:fill="CCEEFF"/>
          </w:tcPr>
          <w:p>
            <w:pPr>
              <w:jc w:val="right"/>
              <w:ind w:right="448"/>
              <w:spacing w:after="0"/>
              <w:rPr>
                <w:sz w:val="20"/>
                <w:szCs w:val="20"/>
                <w:color w:val="auto"/>
              </w:rPr>
            </w:pPr>
            <w:r>
              <w:rPr>
                <w:rFonts w:ascii="Arial" w:cs="Arial" w:eastAsia="Arial" w:hAnsi="Arial"/>
                <w:sz w:val="14"/>
                <w:szCs w:val="14"/>
                <w:color w:val="auto"/>
              </w:rPr>
              <w:t>(9.3)%</w:t>
            </w:r>
          </w:p>
        </w:tc>
        <w:tc>
          <w:tcPr>
            <w:tcW w:w="8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11,898</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11,329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569</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5.0 %</w:t>
            </w:r>
          </w:p>
        </w:tc>
      </w:tr>
      <w:tr>
        <w:trPr>
          <w:trHeight w:val="264"/>
        </w:trPr>
        <w:tc>
          <w:tcPr>
            <w:tcW w:w="1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w w:val="98"/>
              </w:rPr>
              <w:t>Latin America and Asia Pacific</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9,076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8,165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911</w:t>
            </w:r>
          </w:p>
        </w:tc>
        <w:tc>
          <w:tcPr>
            <w:tcW w:w="1220" w:type="dxa"/>
            <w:vAlign w:val="bottom"/>
            <w:tcBorders>
              <w:bottom w:val="single" w:sz="8" w:color="CCEEFF"/>
            </w:tcBorders>
          </w:tcPr>
          <w:p>
            <w:pPr>
              <w:jc w:val="right"/>
              <w:ind w:right="88"/>
              <w:spacing w:after="0"/>
              <w:rPr>
                <w:sz w:val="20"/>
                <w:szCs w:val="20"/>
                <w:color w:val="auto"/>
              </w:rPr>
            </w:pPr>
            <w:r>
              <w:rPr>
                <w:rFonts w:ascii="Arial" w:cs="Arial" w:eastAsia="Arial" w:hAnsi="Arial"/>
                <w:sz w:val="14"/>
                <w:szCs w:val="14"/>
                <w:color w:val="auto"/>
              </w:rPr>
              <w:t>11.2 %</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24,590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28,535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(3,945)</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(13.8)%</w:t>
            </w:r>
          </w:p>
        </w:tc>
      </w:tr>
      <w:tr>
        <w:trPr>
          <w:trHeight w:val="243"/>
        </w:trPr>
        <w:tc>
          <w:tcPr>
            <w:tcW w:w="1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 Revenue</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62,093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58,700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3,393</w:t>
            </w:r>
          </w:p>
        </w:tc>
        <w:tc>
          <w:tcPr>
            <w:tcW w:w="12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5.8 %</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179,998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185,443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(5,445)</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20"/>
        </w:trPr>
        <w:tc>
          <w:tcPr>
            <w:tcW w:w="1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Our revenue in North America increased $2.6 million, or 8.8%, during the third quarter of fiscal 2018 compared with the same period of fiscal 2017. On a year-to-date basis, North America revenue increased by $2.6 million, or 2.7%, compared with the same period in fiscal 2017. In the quarter and year-to-date our sales to both private networks and mobile operator increased compared to fiscal 2017.</w:t>
      </w:r>
    </w:p>
    <w:p>
      <w:pPr>
        <w:spacing w:after="0" w:line="12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revenue in Africa and the Middle East increased $0.3 million, or 1.7%, for the third quarter of fiscal 2018 compared with the same period of fiscal 2017. The increase in revenue was primarily due to higher sales volume to our private network customers in the region. On a year-to-date basis, Africa and the Middle East revenue decreased $4.7 million, or 9.7%, compared with the same period in fiscal 2017. The year-to-date decrease in the region was primarily from lower sales to mobile operator customers in Africa.</w:t>
      </w:r>
    </w:p>
    <w:p>
      <w:pPr>
        <w:spacing w:after="0" w:line="133" w:lineRule="exact"/>
        <w:rPr>
          <w:sz w:val="20"/>
          <w:szCs w:val="20"/>
          <w:color w:val="auto"/>
        </w:rPr>
      </w:pPr>
    </w:p>
    <w:p>
      <w:pPr>
        <w:jc w:val="both"/>
        <w:ind w:right="80" w:firstLine="486"/>
        <w:spacing w:after="0" w:line="264" w:lineRule="auto"/>
        <w:rPr>
          <w:sz w:val="20"/>
          <w:szCs w:val="20"/>
          <w:color w:val="auto"/>
        </w:rPr>
      </w:pPr>
      <w:r>
        <w:rPr>
          <w:rFonts w:ascii="Arial" w:cs="Arial" w:eastAsia="Arial" w:hAnsi="Arial"/>
          <w:sz w:val="18"/>
          <w:szCs w:val="18"/>
          <w:color w:val="auto"/>
        </w:rPr>
        <w:t>Revenue in Europe and Russia decreased $0.4 million, or 9.3%, for the third quarter of fiscal 2018 compared with the same quarter of fiscal 2017. The decrease was due to lower sales to private network customers in the region. On a year-to-date basis, revenue in Europe and Russia increased $0.6 million, or 5.0%, from the same period in fiscal 2017. The increase was from higher sales to mobile operator customers.</w:t>
      </w:r>
    </w:p>
    <w:p>
      <w:pPr>
        <w:spacing w:after="0" w:line="127"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Revenue in Latin America and Asia Pacific increased $0.9 million, or 11.2%, during the third quarter of fiscal 2018 compared with the same period in fiscal 2017. The increase was primarily due to higher sales volume to our customers in both regions. On a year-to-date basis, revenue in Latin America and Asia Pacific decreased $3.9 million, or 13.8%, from the same period in fiscal 2017 mainly due to decreased sales to large mobile operator customers in Asia Pacific and larger customers in Latin America.</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0"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6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thousands, except</w:t>
            </w:r>
          </w:p>
        </w:tc>
        <w:tc>
          <w:tcPr>
            <w:tcW w:w="120" w:type="dxa"/>
            <w:vAlign w:val="bottom"/>
          </w:tcPr>
          <w:p>
            <w:pPr>
              <w:spacing w:after="0"/>
              <w:rPr>
                <w:sz w:val="12"/>
                <w:szCs w:val="12"/>
                <w:color w:val="auto"/>
              </w:rPr>
            </w:pPr>
          </w:p>
        </w:tc>
        <w:tc>
          <w:tcPr>
            <w:tcW w:w="11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6"/>
              </w:rPr>
              <w:t>March 30, 2018</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6"/>
              </w:rPr>
              <w:t>March 31, 2017</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2"/>
                <w:szCs w:val="12"/>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6"/>
              </w:rPr>
              <w:t>March 30, 2018</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March 31, 2017</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Pr>
          <w:p>
            <w:pPr>
              <w:spacing w:after="0"/>
              <w:rPr>
                <w:sz w:val="12"/>
                <w:szCs w:val="12"/>
                <w:color w:val="auto"/>
              </w:rPr>
            </w:pP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percentages)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Product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40,686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39,099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113,472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119,781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Services</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21,407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19,601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1,806</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66,526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65,662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864</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243"/>
        </w:trPr>
        <w:tc>
          <w:tcPr>
            <w:tcW w:w="1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62,093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58,700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3,393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179,998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185,443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Our revenue from product sales increased $1.6 million, or 4.1%, for the third quarter of fiscal 2018 compared with the same period in fiscal 2017. Product volumes increased over the same quarter in fiscal 2017 in North America and Latin America and Asia Pacific with lesser reductions in Europe and Middle East Africa. Our services revenue increased by $1.8 million, or 9.2%, during the third quarter of fiscal 2018 compared with the same period of fiscal 2017, due to increased service activities in all regions except for Latin America.</w:t>
      </w:r>
    </w:p>
    <w:p>
      <w:pPr>
        <w:spacing w:after="0" w:line="133"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Our revenue from product sales decreased by $6.3 million, or 5.3%, for the first nine months of fiscal 2018 compared with the same period in fiscal 2017. The decrease came primarily from weaker product sales in all international regions, offset in part by stronger sales in North America. Our services revenue increased by $0.9 million, or 1.3%, during the first nine months of fiscal 2018 compared with the same period of fiscal 2017, due to higher service activities in most regions, except for the Latin America and Asia Pacific.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8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thousands, except</w:t>
            </w:r>
          </w:p>
        </w:tc>
        <w:tc>
          <w:tcPr>
            <w:tcW w:w="120" w:type="dxa"/>
            <w:vAlign w:val="bottom"/>
          </w:tcPr>
          <w:p>
            <w:pPr>
              <w:spacing w:after="0"/>
              <w:rPr>
                <w:sz w:val="12"/>
                <w:szCs w:val="12"/>
                <w:color w:val="auto"/>
              </w:rPr>
            </w:pPr>
          </w:p>
        </w:tc>
        <w:tc>
          <w:tcPr>
            <w:tcW w:w="11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6"/>
              </w:rPr>
              <w:t>March 30, 2018</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March 31, 2017</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2"/>
                <w:szCs w:val="12"/>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March 30, 2018</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March 31, 2017</w:t>
            </w:r>
          </w:p>
        </w:tc>
        <w:tc>
          <w:tcPr>
            <w:tcW w:w="100" w:type="dxa"/>
            <w:vAlign w:val="bottom"/>
            <w:vMerge w:val="restart"/>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2"/>
                <w:szCs w:val="12"/>
                <w:color w:val="auto"/>
              </w:rPr>
            </w:pP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8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percentages)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62,093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58,700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3,393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179,998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185,443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64"/>
        </w:trPr>
        <w:tc>
          <w:tcPr>
            <w:tcW w:w="1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43,961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40,968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2,993</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122,680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129,230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(6,550)</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56"/>
        </w:trPr>
        <w:tc>
          <w:tcPr>
            <w:tcW w:w="1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margin</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18,132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17,732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57,318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56,213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bl>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80" w:type="dxa"/>
            <w:vAlign w:val="bottom"/>
          </w:tcPr>
          <w:p>
            <w:pPr>
              <w:ind w:left="200"/>
              <w:spacing w:after="0"/>
              <w:rPr>
                <w:sz w:val="20"/>
                <w:szCs w:val="20"/>
                <w:color w:val="auto"/>
              </w:rPr>
            </w:pPr>
            <w:r>
              <w:rPr>
                <w:rFonts w:ascii="Arial" w:cs="Arial" w:eastAsia="Arial" w:hAnsi="Arial"/>
                <w:sz w:val="14"/>
                <w:szCs w:val="14"/>
                <w:color w:val="auto"/>
              </w:rPr>
              <w:t>% of revenue</w:t>
            </w:r>
          </w:p>
        </w:tc>
        <w:tc>
          <w:tcPr>
            <w:tcW w:w="1620" w:type="dxa"/>
            <w:vAlign w:val="bottom"/>
          </w:tcPr>
          <w:p>
            <w:pPr>
              <w:jc w:val="right"/>
              <w:ind w:right="428"/>
              <w:spacing w:after="0"/>
              <w:rPr>
                <w:sz w:val="20"/>
                <w:szCs w:val="20"/>
                <w:color w:val="auto"/>
              </w:rPr>
            </w:pPr>
            <w:r>
              <w:rPr>
                <w:rFonts w:ascii="Arial" w:cs="Arial" w:eastAsia="Arial" w:hAnsi="Arial"/>
                <w:sz w:val="14"/>
                <w:szCs w:val="14"/>
                <w:color w:val="auto"/>
              </w:rPr>
              <w:t>29.2%</w:t>
            </w:r>
          </w:p>
        </w:tc>
        <w:tc>
          <w:tcPr>
            <w:tcW w:w="2400" w:type="dxa"/>
            <w:vAlign w:val="bottom"/>
          </w:tcPr>
          <w:p>
            <w:pPr>
              <w:jc w:val="right"/>
              <w:ind w:right="1448"/>
              <w:spacing w:after="0"/>
              <w:rPr>
                <w:sz w:val="20"/>
                <w:szCs w:val="20"/>
                <w:color w:val="auto"/>
              </w:rPr>
            </w:pPr>
            <w:r>
              <w:rPr>
                <w:rFonts w:ascii="Arial" w:cs="Arial" w:eastAsia="Arial" w:hAnsi="Arial"/>
                <w:sz w:val="14"/>
                <w:szCs w:val="14"/>
                <w:color w:val="auto"/>
              </w:rPr>
              <w:t>30.2%</w:t>
            </w:r>
          </w:p>
        </w:tc>
        <w:tc>
          <w:tcPr>
            <w:tcW w:w="2400" w:type="dxa"/>
            <w:vAlign w:val="bottom"/>
          </w:tcPr>
          <w:p>
            <w:pPr>
              <w:jc w:val="right"/>
              <w:ind w:right="428"/>
              <w:spacing w:after="0"/>
              <w:rPr>
                <w:sz w:val="20"/>
                <w:szCs w:val="20"/>
                <w:color w:val="auto"/>
              </w:rPr>
            </w:pPr>
            <w:r>
              <w:rPr>
                <w:rFonts w:ascii="Arial" w:cs="Arial" w:eastAsia="Arial" w:hAnsi="Arial"/>
                <w:sz w:val="14"/>
                <w:szCs w:val="14"/>
                <w:color w:val="auto"/>
              </w:rPr>
              <w:t>31.8%</w:t>
            </w:r>
          </w:p>
        </w:tc>
        <w:tc>
          <w:tcPr>
            <w:tcW w:w="3020" w:type="dxa"/>
            <w:vAlign w:val="bottom"/>
          </w:tcPr>
          <w:p>
            <w:pPr>
              <w:jc w:val="right"/>
              <w:ind w:right="2068"/>
              <w:spacing w:after="0"/>
              <w:rPr>
                <w:sz w:val="20"/>
                <w:szCs w:val="20"/>
                <w:color w:val="auto"/>
              </w:rPr>
            </w:pPr>
            <w:r>
              <w:rPr>
                <w:rFonts w:ascii="Arial" w:cs="Arial" w:eastAsia="Arial" w:hAnsi="Arial"/>
                <w:sz w:val="14"/>
                <w:szCs w:val="14"/>
                <w:color w:val="auto"/>
              </w:rPr>
              <w:t>30.3%</w:t>
            </w:r>
          </w:p>
        </w:tc>
      </w:tr>
      <w:tr>
        <w:trPr>
          <w:trHeight w:val="276"/>
        </w:trPr>
        <w:tc>
          <w:tcPr>
            <w:tcW w:w="1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Product margin %</w:t>
            </w:r>
          </w:p>
        </w:tc>
        <w:tc>
          <w:tcPr>
            <w:tcW w:w="162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29.4%</w:t>
            </w:r>
          </w:p>
        </w:tc>
        <w:tc>
          <w:tcPr>
            <w:tcW w:w="2400" w:type="dxa"/>
            <w:vAlign w:val="bottom"/>
            <w:shd w:val="clear" w:color="auto" w:fill="CCEEFF"/>
          </w:tcPr>
          <w:p>
            <w:pPr>
              <w:jc w:val="right"/>
              <w:ind w:right="1448"/>
              <w:spacing w:after="0"/>
              <w:rPr>
                <w:sz w:val="20"/>
                <w:szCs w:val="20"/>
                <w:color w:val="auto"/>
              </w:rPr>
            </w:pPr>
            <w:r>
              <w:rPr>
                <w:rFonts w:ascii="Arial" w:cs="Arial" w:eastAsia="Arial" w:hAnsi="Arial"/>
                <w:sz w:val="14"/>
                <w:szCs w:val="14"/>
                <w:color w:val="auto"/>
              </w:rPr>
              <w:t>31.2%</w:t>
            </w:r>
          </w:p>
        </w:tc>
        <w:tc>
          <w:tcPr>
            <w:tcW w:w="24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32.9%</w:t>
            </w:r>
          </w:p>
        </w:tc>
        <w:tc>
          <w:tcPr>
            <w:tcW w:w="3020" w:type="dxa"/>
            <w:vAlign w:val="bottom"/>
            <w:shd w:val="clear" w:color="auto" w:fill="CCEEFF"/>
          </w:tcPr>
          <w:p>
            <w:pPr>
              <w:jc w:val="right"/>
              <w:ind w:right="2068"/>
              <w:spacing w:after="0"/>
              <w:rPr>
                <w:sz w:val="20"/>
                <w:szCs w:val="20"/>
                <w:color w:val="auto"/>
              </w:rPr>
            </w:pPr>
            <w:r>
              <w:rPr>
                <w:rFonts w:ascii="Arial" w:cs="Arial" w:eastAsia="Arial" w:hAnsi="Arial"/>
                <w:sz w:val="14"/>
                <w:szCs w:val="14"/>
                <w:color w:val="auto"/>
              </w:rPr>
              <w:t>30.9%</w:t>
            </w:r>
          </w:p>
        </w:tc>
      </w:tr>
      <w:tr>
        <w:trPr>
          <w:trHeight w:val="258"/>
        </w:trPr>
        <w:tc>
          <w:tcPr>
            <w:tcW w:w="1980" w:type="dxa"/>
            <w:vAlign w:val="bottom"/>
          </w:tcPr>
          <w:p>
            <w:pPr>
              <w:ind w:left="200"/>
              <w:spacing w:after="0"/>
              <w:rPr>
                <w:sz w:val="20"/>
                <w:szCs w:val="20"/>
                <w:color w:val="auto"/>
              </w:rPr>
            </w:pPr>
            <w:r>
              <w:rPr>
                <w:rFonts w:ascii="Arial" w:cs="Arial" w:eastAsia="Arial" w:hAnsi="Arial"/>
                <w:sz w:val="14"/>
                <w:szCs w:val="14"/>
                <w:color w:val="auto"/>
              </w:rPr>
              <w:t>Service margin %</w:t>
            </w:r>
          </w:p>
        </w:tc>
        <w:tc>
          <w:tcPr>
            <w:tcW w:w="1620" w:type="dxa"/>
            <w:vAlign w:val="bottom"/>
          </w:tcPr>
          <w:p>
            <w:pPr>
              <w:jc w:val="right"/>
              <w:ind w:right="428"/>
              <w:spacing w:after="0"/>
              <w:rPr>
                <w:sz w:val="20"/>
                <w:szCs w:val="20"/>
                <w:color w:val="auto"/>
              </w:rPr>
            </w:pPr>
            <w:r>
              <w:rPr>
                <w:rFonts w:ascii="Arial" w:cs="Arial" w:eastAsia="Arial" w:hAnsi="Arial"/>
                <w:sz w:val="14"/>
                <w:szCs w:val="14"/>
                <w:color w:val="auto"/>
              </w:rPr>
              <w:t>28.7%</w:t>
            </w:r>
          </w:p>
        </w:tc>
        <w:tc>
          <w:tcPr>
            <w:tcW w:w="2400" w:type="dxa"/>
            <w:vAlign w:val="bottom"/>
          </w:tcPr>
          <w:p>
            <w:pPr>
              <w:jc w:val="right"/>
              <w:ind w:right="1448"/>
              <w:spacing w:after="0"/>
              <w:rPr>
                <w:sz w:val="20"/>
                <w:szCs w:val="20"/>
                <w:color w:val="auto"/>
              </w:rPr>
            </w:pPr>
            <w:r>
              <w:rPr>
                <w:rFonts w:ascii="Arial" w:cs="Arial" w:eastAsia="Arial" w:hAnsi="Arial"/>
                <w:sz w:val="14"/>
                <w:szCs w:val="14"/>
                <w:color w:val="auto"/>
              </w:rPr>
              <w:t>28.3%</w:t>
            </w:r>
          </w:p>
        </w:tc>
        <w:tc>
          <w:tcPr>
            <w:tcW w:w="2400" w:type="dxa"/>
            <w:vAlign w:val="bottom"/>
          </w:tcPr>
          <w:p>
            <w:pPr>
              <w:jc w:val="right"/>
              <w:ind w:right="428"/>
              <w:spacing w:after="0"/>
              <w:rPr>
                <w:sz w:val="20"/>
                <w:szCs w:val="20"/>
                <w:color w:val="auto"/>
              </w:rPr>
            </w:pPr>
            <w:r>
              <w:rPr>
                <w:rFonts w:ascii="Arial" w:cs="Arial" w:eastAsia="Arial" w:hAnsi="Arial"/>
                <w:sz w:val="14"/>
                <w:szCs w:val="14"/>
                <w:color w:val="auto"/>
              </w:rPr>
              <w:t>30.1%</w:t>
            </w:r>
          </w:p>
        </w:tc>
        <w:tc>
          <w:tcPr>
            <w:tcW w:w="3020" w:type="dxa"/>
            <w:vAlign w:val="bottom"/>
          </w:tcPr>
          <w:p>
            <w:pPr>
              <w:jc w:val="right"/>
              <w:ind w:right="2068"/>
              <w:spacing w:after="0"/>
              <w:rPr>
                <w:sz w:val="20"/>
                <w:szCs w:val="20"/>
                <w:color w:val="auto"/>
              </w:rPr>
            </w:pPr>
            <w:r>
              <w:rPr>
                <w:rFonts w:ascii="Arial" w:cs="Arial" w:eastAsia="Arial" w:hAnsi="Arial"/>
                <w:sz w:val="14"/>
                <w:szCs w:val="14"/>
                <w:color w:val="auto"/>
              </w:rPr>
              <w:t>29.2%</w:t>
            </w:r>
          </w:p>
        </w:tc>
      </w:tr>
    </w:tbl>
    <w:p>
      <w:pPr>
        <w:spacing w:after="0" w:line="160" w:lineRule="exact"/>
        <w:rPr>
          <w:sz w:val="20"/>
          <w:szCs w:val="20"/>
          <w:color w:val="auto"/>
        </w:rPr>
      </w:pPr>
    </w:p>
    <w:p>
      <w:pPr>
        <w:ind w:right="360" w:firstLine="486"/>
        <w:spacing w:after="0" w:line="259" w:lineRule="auto"/>
        <w:rPr>
          <w:sz w:val="20"/>
          <w:szCs w:val="20"/>
          <w:color w:val="auto"/>
        </w:rPr>
      </w:pPr>
      <w:r>
        <w:rPr>
          <w:rFonts w:ascii="Arial" w:cs="Arial" w:eastAsia="Arial" w:hAnsi="Arial"/>
          <w:sz w:val="18"/>
          <w:szCs w:val="18"/>
          <w:color w:val="auto"/>
        </w:rPr>
        <w:t>Gross margin for the three and nine months ended March 30, 2018 increased by $0.4 million, or 2.3%, and $1.1 million, or 2.0%, respectively, compared with the three and nine months ended March 31, 2017. The margin increase in the quarter resulted from improved service margins primarily in Middle East Africa and North America. The year to year increase came from improved profitability of service projects in Middle East Africa, as well as a decrease in supply chain costs.</w:t>
      </w:r>
    </w:p>
    <w:p>
      <w:pPr>
        <w:spacing w:after="0" w:line="133"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Gross margin as a percentage of revenue decreased in the third quarter of fiscal 2018 compared with the same period in fiscal 2017 due to reduced product margins offset in part by an increased in service margins. Product margin as a percentage of product revenue decreased from the prior year quarter primarily due to lower project margins delivering in the quarter. Service margin as a percentage of service revenue increased due to continued efforts to improve execution of our field services and after sales support projects.</w:t>
      </w:r>
    </w:p>
    <w:p>
      <w:pPr>
        <w:spacing w:after="0" w:line="133"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On a year-to-date basis, gross margin as a percentage of revenue increased due to lower supply chain costs and higher margin on both product and service. Gross margin rates in our services businesses in most international sectors improved compared with the same period in fiscal 2017 and North America is slightly down from fiscal 2017. Product margin as a percentage of product revenue increased in the first nine months of fiscal 2018 over the same period in fiscal 2017 primarily due to reduced supply chain costs as well as improved product margins in Africa and Asia-Pacific.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8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thousands, except</w:t>
            </w:r>
          </w:p>
        </w:tc>
        <w:tc>
          <w:tcPr>
            <w:tcW w:w="140" w:type="dxa"/>
            <w:vAlign w:val="bottom"/>
          </w:tcPr>
          <w:p>
            <w:pPr>
              <w:spacing w:after="0"/>
              <w:rPr>
                <w:sz w:val="12"/>
                <w:szCs w:val="12"/>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March 30, 2018</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March 31, 2017</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vMerge w:val="restart"/>
          </w:tcPr>
          <w:p>
            <w:pPr>
              <w:spacing w:after="0"/>
              <w:rPr>
                <w:sz w:val="12"/>
                <w:szCs w:val="12"/>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1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8"/>
              </w:rPr>
              <w:t>March 30, 2018</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March 31, 2017</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 Change</w:t>
            </w:r>
          </w:p>
        </w:tc>
        <w:tc>
          <w:tcPr>
            <w:tcW w:w="120" w:type="dxa"/>
            <w:vAlign w:val="bottom"/>
            <w:vMerge w:val="restart"/>
          </w:tcPr>
          <w:p>
            <w:pPr>
              <w:spacing w:after="0"/>
              <w:rPr>
                <w:sz w:val="12"/>
                <w:szCs w:val="12"/>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8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percentages)</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4,754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4,264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11.5%  $</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14,696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13,682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1,014</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58"/>
        </w:trPr>
        <w:tc>
          <w:tcPr>
            <w:tcW w:w="1880" w:type="dxa"/>
            <w:vAlign w:val="bottom"/>
          </w:tcPr>
          <w:p>
            <w:pPr>
              <w:ind w:left="200"/>
              <w:spacing w:after="0"/>
              <w:rPr>
                <w:sz w:val="20"/>
                <w:szCs w:val="20"/>
                <w:color w:val="auto"/>
              </w:rPr>
            </w:pPr>
            <w:r>
              <w:rPr>
                <w:rFonts w:ascii="Arial" w:cs="Arial" w:eastAsia="Arial" w:hAnsi="Arial"/>
                <w:sz w:val="14"/>
                <w:szCs w:val="14"/>
                <w:color w:val="auto"/>
              </w:rPr>
              <w:t>% of revenue</w:t>
            </w: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6" w:right="239" w:bottom="1440" w:gutter="0" w:footer="0" w:header="0"/>
        </w:sectPr>
      </w:pPr>
    </w:p>
    <w:bookmarkStart w:id="23" w:name="page24"/>
    <w:bookmarkEnd w:id="23"/>
    <w:p>
      <w:pPr>
        <w:ind w:left="500"/>
        <w:spacing w:after="0"/>
        <w:rPr>
          <w:sz w:val="20"/>
          <w:szCs w:val="20"/>
          <w:color w:val="auto"/>
        </w:rPr>
      </w:pPr>
      <w:r>
        <w:rPr>
          <w:rFonts w:ascii="Arial" w:cs="Arial" w:eastAsia="Arial" w:hAnsi="Arial"/>
          <w:sz w:val="16"/>
          <w:szCs w:val="16"/>
          <w:color w:val="auto"/>
        </w:rPr>
        <w:t>Our research and development expenses increased $0.5 million, or 11.5%, in the third quarter of fiscal 2018 compared with the same period in fiscal</w:t>
      </w:r>
    </w:p>
    <w:p>
      <w:pPr>
        <w:spacing w:after="0" w:line="46" w:lineRule="exact"/>
        <w:rPr>
          <w:sz w:val="20"/>
          <w:szCs w:val="20"/>
          <w:color w:val="auto"/>
        </w:rPr>
      </w:pPr>
    </w:p>
    <w:p>
      <w:pPr>
        <w:ind w:right="460"/>
        <w:spacing w:after="0" w:line="323" w:lineRule="auto"/>
        <w:rPr>
          <w:sz w:val="20"/>
          <w:szCs w:val="20"/>
          <w:color w:val="auto"/>
        </w:rPr>
      </w:pPr>
      <w:r>
        <w:rPr>
          <w:rFonts w:ascii="Arial" w:cs="Arial" w:eastAsia="Arial" w:hAnsi="Arial"/>
          <w:sz w:val="16"/>
          <w:szCs w:val="16"/>
          <w:color w:val="auto"/>
        </w:rPr>
        <w:t>2017. The increase was due to a $0.1 million increase in professional service expense and a $0.4 million increase in compensation and related employee expenses as we hired additional employees to support various research and development projects and incurred higher health insurance costs.</w:t>
      </w:r>
    </w:p>
    <w:p>
      <w:pPr>
        <w:spacing w:after="0" w:line="85"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Our research and development expenses increased $1.0 million, or 7.4%, in the first nine months of fiscal 2018 compared with the same period in fiscal 2017. The increase was primarily due to a $0.9 million increase in compensation and related employee expenses as we hired additional employees to support various research and development projects and incurred higher health insurance costs and $0.5 million additional spending in professional service expense. The increase was offset by $0.2 million of higher economic incentive grant credit in the first nine months of fiscal 2018 and a $0.2 million decrease in depreciation expense due to time lapsed.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8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thousands, except</w:t>
            </w:r>
          </w:p>
        </w:tc>
        <w:tc>
          <w:tcPr>
            <w:tcW w:w="140" w:type="dxa"/>
            <w:vAlign w:val="bottom"/>
          </w:tcPr>
          <w:p>
            <w:pPr>
              <w:spacing w:after="0"/>
              <w:rPr>
                <w:sz w:val="12"/>
                <w:szCs w:val="12"/>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March 30, 2018</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March 31, 2017</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vMerge w:val="restart"/>
          </w:tcPr>
          <w:p>
            <w:pPr>
              <w:spacing w:after="0"/>
              <w:rPr>
                <w:sz w:val="12"/>
                <w:szCs w:val="12"/>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1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8"/>
              </w:rPr>
              <w:t>March 30, 2018</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March 31, 2017</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 Change</w:t>
            </w:r>
          </w:p>
        </w:tc>
        <w:tc>
          <w:tcPr>
            <w:tcW w:w="120" w:type="dxa"/>
            <w:vAlign w:val="bottom"/>
            <w:vMerge w:val="restart"/>
          </w:tcPr>
          <w:p>
            <w:pPr>
              <w:spacing w:after="0"/>
              <w:rPr>
                <w:sz w:val="12"/>
                <w:szCs w:val="12"/>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8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percentages)</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and administrative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14,745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13,284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1,461</w:t>
            </w:r>
          </w:p>
        </w:tc>
        <w:tc>
          <w:tcPr>
            <w:tcW w:w="10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11.0%  $</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42,571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42,527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58"/>
        </w:trPr>
        <w:tc>
          <w:tcPr>
            <w:tcW w:w="1880" w:type="dxa"/>
            <w:vAlign w:val="bottom"/>
          </w:tcPr>
          <w:p>
            <w:pPr>
              <w:ind w:left="200"/>
              <w:spacing w:after="0"/>
              <w:rPr>
                <w:sz w:val="20"/>
                <w:szCs w:val="20"/>
                <w:color w:val="auto"/>
              </w:rPr>
            </w:pPr>
            <w:r>
              <w:rPr>
                <w:rFonts w:ascii="Arial" w:cs="Arial" w:eastAsia="Arial" w:hAnsi="Arial"/>
                <w:sz w:val="14"/>
                <w:szCs w:val="14"/>
                <w:color w:val="auto"/>
              </w:rPr>
              <w:t>% of revenue</w:t>
            </w: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selling and administrative expenses increased $1.5 million, or 11.0%, in the third quarter of fiscal 2018 compared with the same periods in fiscal</w:t>
      </w:r>
    </w:p>
    <w:p>
      <w:pPr>
        <w:spacing w:after="0" w:line="46" w:lineRule="exact"/>
        <w:rPr>
          <w:sz w:val="20"/>
          <w:szCs w:val="20"/>
          <w:color w:val="auto"/>
        </w:rPr>
      </w:pPr>
    </w:p>
    <w:p>
      <w:pPr>
        <w:ind w:right="560"/>
        <w:spacing w:after="0" w:line="302" w:lineRule="auto"/>
        <w:rPr>
          <w:sz w:val="20"/>
          <w:szCs w:val="20"/>
          <w:color w:val="auto"/>
        </w:rPr>
      </w:pPr>
      <w:r>
        <w:rPr>
          <w:rFonts w:ascii="Arial" w:cs="Arial" w:eastAsia="Arial" w:hAnsi="Arial"/>
          <w:sz w:val="16"/>
          <w:szCs w:val="16"/>
          <w:color w:val="auto"/>
        </w:rPr>
        <w:t>2017. The increase for the third quarter of fiscal 2018 compared with the same quarter in fiscal 2017 was primarily due to a $1.3 million increase in compensation and related employee expenses due to increase in health insurance costs, a $0.3 million increase in sales commissions and a $0.1 million increase in professional services expense offset by a $0.2 million savings in facilities costs due to our relocation to a new facility in fiscal 2017.</w:t>
      </w:r>
    </w:p>
    <w:p>
      <w:pPr>
        <w:spacing w:after="0" w:line="101"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The slight increase for the first nine months of fiscal 2018 compared with the same period in fiscal 2017 was primarily due to a $0.9 million increase in bad debt expense as the recovery of bad debt of $0.9 million in the first nine months of fiscal 2017 was not repeated in the first nine months of fiscal 2018 and a $0.8 million increase in compensation and related employee expenses due to increase in health insurance costs. These increases were offset by a $1.1 million decrease in facility costs, a $0.3 million decrease in professional fees, and a $0.2 million decrease in depreciation expenses.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4"/>
              </w:rPr>
              <w:t>Nine Months Ended</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2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thousands, except</w:t>
            </w: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30, 2018</w:t>
            </w:r>
          </w:p>
        </w:tc>
        <w:tc>
          <w:tcPr>
            <w:tcW w:w="120" w:type="dxa"/>
            <w:vAlign w:val="bottom"/>
          </w:tcPr>
          <w:p>
            <w:pPr>
              <w:spacing w:after="0"/>
              <w:rPr>
                <w:sz w:val="12"/>
                <w:szCs w:val="12"/>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22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30, 2018</w:t>
            </w: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920" w:type="dxa"/>
            <w:vAlign w:val="bottom"/>
          </w:tcPr>
          <w:p>
            <w:pPr>
              <w:ind w:left="40"/>
              <w:spacing w:after="0"/>
              <w:rPr>
                <w:sz w:val="20"/>
                <w:szCs w:val="20"/>
                <w:color w:val="auto"/>
              </w:rPr>
            </w:pPr>
            <w:r>
              <w:rPr>
                <w:rFonts w:ascii="Arial" w:cs="Arial" w:eastAsia="Arial" w:hAnsi="Arial"/>
                <w:sz w:val="14"/>
                <w:szCs w:val="14"/>
                <w:b w:val="1"/>
                <w:bCs w:val="1"/>
                <w:color w:val="auto"/>
              </w:rPr>
              <w:t>percentages)</w:t>
            </w: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92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Restructuring (recovery)</w:t>
            </w: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(101.8)%   $</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(173.5)%</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Our restructuring expenses in the three and nine months ended March 31, 2017 consisted primarily of the facility costs related to our previous headquarters in Santa Clara. During the second quarter of fiscal 2018, based on communications with a certain foreign government, we reduced our estimated payments relating to the fiscal 2014-2015 restructuring plan by $0.3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(Expense)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2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thousands, except</w:t>
            </w: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30, 2018</w:t>
            </w:r>
          </w:p>
        </w:tc>
        <w:tc>
          <w:tcPr>
            <w:tcW w:w="120" w:type="dxa"/>
            <w:vAlign w:val="bottom"/>
          </w:tcPr>
          <w:p>
            <w:pPr>
              <w:spacing w:after="0"/>
              <w:rPr>
                <w:sz w:val="12"/>
                <w:szCs w:val="12"/>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30, 2018</w:t>
            </w: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920" w:type="dxa"/>
            <w:vAlign w:val="bottom"/>
          </w:tcPr>
          <w:p>
            <w:pPr>
              <w:ind w:left="40"/>
              <w:spacing w:after="0"/>
              <w:rPr>
                <w:sz w:val="20"/>
                <w:szCs w:val="20"/>
                <w:color w:val="auto"/>
              </w:rPr>
            </w:pPr>
            <w:r>
              <w:rPr>
                <w:rFonts w:ascii="Arial" w:cs="Arial" w:eastAsia="Arial" w:hAnsi="Arial"/>
                <w:sz w:val="14"/>
                <w:szCs w:val="14"/>
                <w:b w:val="1"/>
                <w:bCs w:val="1"/>
                <w:color w:val="auto"/>
              </w:rPr>
              <w:t>percentages)</w:t>
            </w: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16.7 %</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64"/>
        </w:trPr>
        <w:tc>
          <w:tcPr>
            <w:tcW w:w="192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76"/>
        </w:trPr>
        <w:tc>
          <w:tcPr>
            <w:tcW w:w="1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(expense)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(234.1)%</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Interest income reflected interest earned on our cash equivalents which were comprised of money market funds and certificates of deposit.</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expense was primarily related to interest associated with borrowings under the SVB Credit Facility and discounts on customer letters of credit.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4" w:name="page25"/>
    <w:bookmarkEnd w:id="24"/>
    <w:p>
      <w:pPr>
        <w:ind w:left="500"/>
        <w:spacing w:after="0"/>
        <w:rPr>
          <w:sz w:val="20"/>
          <w:szCs w:val="20"/>
          <w:color w:val="auto"/>
        </w:rPr>
      </w:pPr>
      <w:r>
        <w:rPr>
          <w:rFonts w:ascii="Arial" w:cs="Arial" w:eastAsia="Arial" w:hAnsi="Arial"/>
          <w:sz w:val="16"/>
          <w:szCs w:val="16"/>
          <w:color w:val="auto"/>
        </w:rPr>
        <w:t>Other (expense) income was primarily comprised of a foreign exchange loss related to a dividend declared by our Nigeria entity (a partnership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tax purposes) to our Aviat U.S. entity.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2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thousands, except</w:t>
            </w: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30, 2018</w:t>
            </w:r>
          </w:p>
        </w:tc>
        <w:tc>
          <w:tcPr>
            <w:tcW w:w="120" w:type="dxa"/>
            <w:vAlign w:val="bottom"/>
          </w:tcPr>
          <w:p>
            <w:pPr>
              <w:spacing w:after="0"/>
              <w:rPr>
                <w:sz w:val="12"/>
                <w:szCs w:val="12"/>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30, 2018</w:t>
            </w: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920" w:type="dxa"/>
            <w:vAlign w:val="bottom"/>
          </w:tcPr>
          <w:p>
            <w:pPr>
              <w:ind w:left="40"/>
              <w:spacing w:after="0"/>
              <w:rPr>
                <w:sz w:val="20"/>
                <w:szCs w:val="20"/>
                <w:color w:val="auto"/>
              </w:rPr>
            </w:pPr>
            <w:r>
              <w:rPr>
                <w:rFonts w:ascii="Arial" w:cs="Arial" w:eastAsia="Arial" w:hAnsi="Arial"/>
                <w:sz w:val="14"/>
                <w:szCs w:val="14"/>
                <w:b w:val="1"/>
                <w:bCs w:val="1"/>
                <w:color w:val="auto"/>
              </w:rPr>
              <w:t>percentages)</w:t>
            </w: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92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(Loss) income before income</w:t>
            </w: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taxes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center"/>
              <w:ind w:left="628"/>
              <w:spacing w:after="0"/>
              <w:rPr>
                <w:sz w:val="20"/>
                <w:szCs w:val="20"/>
                <w:color w:val="auto"/>
              </w:rPr>
            </w:pPr>
            <w:r>
              <w:rPr>
                <w:rFonts w:ascii="Arial" w:cs="Arial" w:eastAsia="Arial" w:hAnsi="Arial"/>
                <w:sz w:val="14"/>
                <w:szCs w:val="14"/>
                <w:color w:val="auto"/>
                <w:w w:val="94"/>
              </w:rPr>
              <w:t>449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(1,824)</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(694.3)%</w:t>
            </w:r>
          </w:p>
        </w:tc>
        <w:tc>
          <w:tcPr>
            <w:tcW w:w="0" w:type="dxa"/>
            <w:vAlign w:val="bottom"/>
          </w:tcPr>
          <w:p>
            <w:pPr>
              <w:spacing w:after="0"/>
              <w:rPr>
                <w:sz w:val="1"/>
                <w:szCs w:val="1"/>
                <w:color w:val="auto"/>
              </w:rPr>
            </w:pPr>
          </w:p>
        </w:tc>
      </w:tr>
      <w:tr>
        <w:trPr>
          <w:trHeight w:val="157"/>
        </w:trPr>
        <w:tc>
          <w:tcPr>
            <w:tcW w:w="1920" w:type="dxa"/>
            <w:vAlign w:val="bottom"/>
          </w:tcPr>
          <w:p>
            <w:pPr>
              <w:ind w:left="40"/>
              <w:spacing w:after="0" w:line="157" w:lineRule="exact"/>
              <w:rPr>
                <w:sz w:val="20"/>
                <w:szCs w:val="20"/>
                <w:color w:val="auto"/>
              </w:rPr>
            </w:pPr>
            <w:r>
              <w:rPr>
                <w:rFonts w:ascii="Arial" w:cs="Arial" w:eastAsia="Arial" w:hAnsi="Arial"/>
                <w:sz w:val="14"/>
                <w:szCs w:val="14"/>
                <w:color w:val="auto"/>
              </w:rPr>
              <w:t>Provision for (benefit from)</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920" w:type="dxa"/>
            <w:vAlign w:val="bottom"/>
          </w:tcPr>
          <w:p>
            <w:pPr>
              <w:ind w:left="360"/>
              <w:spacing w:after="0"/>
              <w:rPr>
                <w:sz w:val="20"/>
                <w:szCs w:val="20"/>
                <w:color w:val="auto"/>
              </w:rPr>
            </w:pPr>
            <w:r>
              <w:rPr>
                <w:rFonts w:ascii="Arial" w:cs="Arial" w:eastAsia="Arial" w:hAnsi="Arial"/>
                <w:sz w:val="14"/>
                <w:szCs w:val="14"/>
                <w:color w:val="auto"/>
              </w:rPr>
              <w:t>income taxes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1,015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center"/>
              <w:ind w:left="628"/>
              <w:spacing w:after="0"/>
              <w:rPr>
                <w:sz w:val="20"/>
                <w:szCs w:val="20"/>
                <w:color w:val="auto"/>
              </w:rPr>
            </w:pPr>
            <w:r>
              <w:rPr>
                <w:rFonts w:ascii="Arial" w:cs="Arial" w:eastAsia="Arial" w:hAnsi="Arial"/>
                <w:sz w:val="14"/>
                <w:szCs w:val="14"/>
                <w:color w:val="auto"/>
                <w:w w:val="94"/>
              </w:rPr>
              <w:t>779</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236</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30.3 %</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(2,188)</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(826)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(1,362)</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164.9 %</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100" w:firstLine="486"/>
        <w:spacing w:after="0" w:line="290" w:lineRule="auto"/>
        <w:rPr>
          <w:sz w:val="20"/>
          <w:szCs w:val="20"/>
          <w:color w:val="auto"/>
        </w:rPr>
      </w:pPr>
      <w:r>
        <w:rPr>
          <w:rFonts w:ascii="Arial" w:cs="Arial" w:eastAsia="Arial" w:hAnsi="Arial"/>
          <w:sz w:val="16"/>
          <w:szCs w:val="16"/>
          <w:color w:val="auto"/>
        </w:rPr>
        <w:t>We estimate our annual effective tax rate at the end of each quarterly period, and we record the tax effect of certain discrete items in the interim period in which they occur, including changes in judgment about uncertain tax positions and deferred tax valuation allowances. During the first quarter of fiscal 2017, we received a tax refund of $3.7 million from the IRAS related to an assessment we paid in fiscal year 2014 related to deductions claimed in tax years 2007 through 2010. During the first quarter of fiscal 2018, we received an additional refund of $1.3 million from IRAS which represented a final settlement. Both tax refunds were recorded as a discrete tax benefit during the quarter the respective payment was received. During the second quarter of fiscal 2018, we recorded a valuation allowance release of $3.3 million related to refundable AMT credit under the Tax Act as a discrete benefit. We expect to receive the refund of this tax benefit starting in our fiscal year 2020. The determination of the effective tax rate reflects tax expense and benefit generated in certain jurisdictions. However, jurisdictions with a year-to-date loss where no tax benefit can be recognized are excluded from the annual effective tax rate.</w:t>
      </w:r>
    </w:p>
    <w:p>
      <w:pPr>
        <w:spacing w:after="0" w:line="112"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color w:val="auto"/>
        </w:rPr>
        <w:t>Due to the uncertainty regarding the timing and extent of our future profitability, we continue to record a full valuation allowance to offset our U.S. deferred tax assets which primarily represent future income tax benefits associated with our operating losses because we do not currently believe that it is more likely than not that these assets will be realized. In the future, if we conclude that sufficient positive evidence (including our estimate of future taxable income) exists to support a reversal of all or a portion of the valuation allowance, we expect that a significant portion of any release of the valuation allowance will be recorded as an income tax benefit at the time of release.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Strategies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71" w:lineRule="exact"/>
        <w:rPr>
          <w:sz w:val="20"/>
          <w:szCs w:val="20"/>
          <w:color w:val="auto"/>
        </w:rPr>
      </w:pPr>
    </w:p>
    <w:p>
      <w:pPr>
        <w:ind w:right="180" w:firstLine="486"/>
        <w:spacing w:after="0" w:line="286" w:lineRule="auto"/>
        <w:rPr>
          <w:sz w:val="20"/>
          <w:szCs w:val="20"/>
          <w:color w:val="auto"/>
        </w:rPr>
      </w:pPr>
      <w:r>
        <w:rPr>
          <w:rFonts w:ascii="Arial" w:cs="Arial" w:eastAsia="Arial" w:hAnsi="Arial"/>
          <w:sz w:val="17"/>
          <w:szCs w:val="17"/>
          <w:color w:val="auto"/>
        </w:rPr>
        <w:t>As of March 30, 2018, our total cash, cash equivalents, restricted cash, and short-term investments were $38.8 million. Approximately $17.1 million, or 44.0% was held in the United States. The remaining balance of $21.7 million, or 56.0%, was held by entities outside the United States. As of March 30, 2018, $1.3 million was classified as restricted cash as it was being held by the bank; however, this amount was released in April 2018.</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Cash provided by operating activities was $7.3 million in the first nine months of fiscal 2018 as compared to cash provided by operating activities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$13.4 million in the first nine months of fiscal 2017. Cash provided by operating activities is presented as net income adjusted for non-cash items and changes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operating assets and liabilities. Net contribution of non-cash items to cash provided by operating activities decreased by $3.0 million and net contribution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changes in operating assets and liabilities to cash provided by operating activities increased by $4.8 million for the first nine months of fiscal 2018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compared to the same period in fiscal 2017.</w:t>
      </w:r>
    </w:p>
    <w:p>
      <w:pPr>
        <w:spacing w:after="0" w:line="15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 $3.0 million decrease in the net contribution of non-cash items to cash provided by operating activities was primarily due to a $3.1 million net decrease in deferred tax expense of which $3.3 million was related to the release of a valuation allowance for Alternative Minimum Tax, a $0.7 million decrease in charges for inventory write-downs, a $0.6 million decrease in depreciation and amortization of property, plant and equipment, offset by a $0.9 million change in provision for receivables as we had a bad debt recovery of $0.9 million in the first nine months of fiscal 2017 and a $0.2 million increase in share-based compensation expense.</w:t>
      </w:r>
    </w:p>
    <w:p>
      <w:pPr>
        <w:spacing w:after="0" w:line="134" w:lineRule="exact"/>
        <w:rPr>
          <w:sz w:val="20"/>
          <w:szCs w:val="20"/>
          <w:color w:val="auto"/>
        </w:rPr>
      </w:pPr>
    </w:p>
    <w:p>
      <w:pPr>
        <w:ind w:right="60" w:firstLine="486"/>
        <w:spacing w:after="0" w:line="302" w:lineRule="auto"/>
        <w:rPr>
          <w:sz w:val="20"/>
          <w:szCs w:val="20"/>
          <w:color w:val="auto"/>
        </w:rPr>
      </w:pPr>
      <w:r>
        <w:rPr>
          <w:rFonts w:ascii="Arial" w:cs="Arial" w:eastAsia="Arial" w:hAnsi="Arial"/>
          <w:sz w:val="16"/>
          <w:szCs w:val="16"/>
          <w:color w:val="auto"/>
        </w:rPr>
        <w:t>Changes in operating assets and liabilities resulted in a net increase of $4.8 million to cash provided by operating activities for the first nine months of fiscal 2018 as compared to the same period in 2017. Accounts receivable and unbilled costs fluctuate from period to period, depending on the amount, timing of sales and billing activities as well as cash collections. The fluctuations in accounts payable and accrued expenses were primarily due to the timing of liabilities incurred and vendor payments. The change in inventories and in customer service inventories were primarily due to demand and our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5" w:name="page26"/>
    <w:bookmarkEnd w:id="25"/>
    <w:p>
      <w:pPr>
        <w:ind w:right="180"/>
        <w:spacing w:after="0" w:line="342" w:lineRule="auto"/>
        <w:rPr>
          <w:sz w:val="20"/>
          <w:szCs w:val="20"/>
          <w:color w:val="auto"/>
        </w:rPr>
      </w:pPr>
      <w:r>
        <w:rPr>
          <w:rFonts w:ascii="Arial" w:cs="Arial" w:eastAsia="Arial" w:hAnsi="Arial"/>
          <w:sz w:val="16"/>
          <w:szCs w:val="16"/>
          <w:color w:val="auto"/>
        </w:rPr>
        <w:t>focus on improving our inventory management. The decrease in customer advanced payments and unearned income was due to the timing of payment from customers and revenue recognition. We used $1.0 million in cash during the first nine months of fiscal 2018 on expenses related to restructuring liabilities.</w:t>
      </w:r>
    </w:p>
    <w:p>
      <w:pPr>
        <w:spacing w:after="0" w:line="70"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During the remainder of fiscal year 2018, we expect to spend approximately $1.0 million for capital expenditures, primarily on equipment for development and manufacturing of new products and to support customer managed services.</w:t>
      </w:r>
    </w:p>
    <w:p>
      <w:pPr>
        <w:spacing w:after="0" w:line="116"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As of March 30, 2018, our principal sources of liquidity consisted of the $37.5 million in cash, cash equivalents and short-term investments, $6.9 million of available credit under our $30.0 million SVB Credit Facility which expires on June 30, 2018 and future collections of receivables from customers. We regularly require letters of credit from some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and credit facilities.</w:t>
      </w:r>
    </w:p>
    <w:p>
      <w:pPr>
        <w:spacing w:after="0" w:line="134"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We believe that our existing cash and cash equivalents, the available line of credit under the SVB Credit Facility and future cash collections from customers will be sufficient to provide for our anticipated requirements for working capital and capital expenditures for at least the next 12 months. Our SVB Credit Facility expires on June 30, 2018. While we intend to renew the SVB Credit Facility and expect the SVB Credit Facility to be renewed, there can be no assurance that the SVB Credit Facility will be renewed. In addition, there can be no assurance that our business will generate cash flow from operations, we will be in compliance with the quarterly financial covenants contained in the SVB Credit Facility, or that we will have a sufficient borrowing base under such facility, or that anticipated operational improvements will be achieved. If we are not in compliance with the financial covenants or do not have sufficient eligible accounts receivable to support our borrowing base, the availability of our credit facility is not certain or may be diminished. Over the longer term, if we are unable to maintain cash balances or generate sufficient cash flow from operations to service our obligations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Payments</w:t>
      </w:r>
    </w:p>
    <w:p>
      <w:pPr>
        <w:spacing w:after="0" w:line="171" w:lineRule="exact"/>
        <w:rPr>
          <w:sz w:val="20"/>
          <w:szCs w:val="20"/>
          <w:color w:val="auto"/>
        </w:rPr>
      </w:pPr>
    </w:p>
    <w:p>
      <w:pPr>
        <w:ind w:right="160" w:firstLine="486"/>
        <w:spacing w:after="0" w:line="342" w:lineRule="auto"/>
        <w:rPr>
          <w:sz w:val="20"/>
          <w:szCs w:val="20"/>
          <w:color w:val="auto"/>
        </w:rPr>
      </w:pPr>
      <w:r>
        <w:rPr>
          <w:rFonts w:ascii="Arial" w:cs="Arial" w:eastAsia="Arial" w:hAnsi="Arial"/>
          <w:sz w:val="16"/>
          <w:szCs w:val="16"/>
          <w:color w:val="auto"/>
        </w:rPr>
        <w:t>We had liabilities for restructuring activities totaling $0.5 million as of March 30, 2018, $0.2 million of which was classified as current liabilities and expected to be paid out in cash over the next 12 months. We expect to fund these future payments with available cash and cash provided by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amounts disclosed in our fiscal 2017 Annual Report on Form 10-K filed with the SEC on September 6, 2017 include our commercial commitments and contractual obligations. During the first nine months of fiscal 2018, no material changes occurred in our contractual obligations to purchase goods and services and to make payments under operating leases or our contingent liabilities on outstanding letters of credit, guarantees and other arrangements as disclosed in our fiscal 2017 Annual Report on Form 10-K. As of March 30, 2018, we had commercial commitments of $54.7 million outstanding that were not recorded in our unaudited condensed consolidated balance sheets. This is an increase of $20.0 million from the amount disclosed in our fiscal 2017 Annual Report on Form 10-K. Please refer to Note 10 Commitments and Contingencies of the Notes to Condensed Consolidated Financial Statements (Unaudited) in this Quarterly Report on Form 10-Q.</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For information about our critical accounting estimates, see the “Critical Accounting Estimates” section of “Item 7. Management’s Discussion and Analysis of Financial Condition and Results of Operations” in our fiscal 2017 Annual Report on Form 10-K.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746"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00" w:firstLine="486"/>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175" w:lineRule="exact"/>
        <w:rPr>
          <w:sz w:val="20"/>
          <w:szCs w:val="20"/>
          <w:color w:val="auto"/>
        </w:rPr>
      </w:pPr>
    </w:p>
    <w:p>
      <w:pPr>
        <w:jc w:val="both"/>
        <w:ind w:right="120" w:firstLine="486"/>
        <w:spacing w:after="0" w:line="264"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27"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We use foreign exchange forward contracts to hedge forecasted foreign currency transactions relating to forecasted sales and purchase transactions. Beginning the fourth quarter of fiscal 2015, we no longer prepared contemporaneous documentation of hedges for the new foreign exchange forward contracts we entered. As a result, the foreign exchange hedges no longer qualified as cash flow hedges. The changes in fair value related to the hedges were recorded in income or expenses line items on our statements of operations.</w:t>
      </w:r>
    </w:p>
    <w:p>
      <w:pPr>
        <w:spacing w:after="0" w:line="133"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2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As of March 30, 2018, we had foreign currency forward contracts outstanding with a total notional amount of $5.3 million consisting of four currencies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vMerge w:val="restart"/>
          </w:tcPr>
          <w:p>
            <w:pPr>
              <w:jc w:val="center"/>
              <w:ind w:right="19"/>
              <w:spacing w:after="0"/>
              <w:rPr>
                <w:sz w:val="20"/>
                <w:szCs w:val="20"/>
                <w:color w:val="auto"/>
              </w:rPr>
            </w:pPr>
            <w:r>
              <w:rPr>
                <w:rFonts w:ascii="Arial" w:cs="Arial" w:eastAsia="Arial" w:hAnsi="Arial"/>
                <w:sz w:val="14"/>
                <w:szCs w:val="14"/>
                <w:b w:val="1"/>
                <w:bCs w:val="1"/>
                <w:color w:val="auto"/>
                <w:w w:val="95"/>
              </w:rPr>
              <w:t>Notional Contract</w:t>
            </w:r>
          </w:p>
        </w:tc>
        <w:tc>
          <w:tcPr>
            <w:tcW w:w="440" w:type="dxa"/>
            <w:vAlign w:val="bottom"/>
          </w:tcPr>
          <w:p>
            <w:pPr>
              <w:spacing w:after="0"/>
              <w:rPr>
                <w:sz w:val="14"/>
                <w:szCs w:val="14"/>
                <w:color w:val="auto"/>
              </w:rPr>
            </w:pPr>
          </w:p>
        </w:tc>
        <w:tc>
          <w:tcPr>
            <w:tcW w:w="1040" w:type="dxa"/>
            <w:vAlign w:val="bottom"/>
          </w:tcPr>
          <w:p>
            <w:pPr>
              <w:jc w:val="center"/>
              <w:ind w:right="358"/>
              <w:spacing w:after="0"/>
              <w:rPr>
                <w:sz w:val="20"/>
                <w:szCs w:val="20"/>
                <w:color w:val="auto"/>
              </w:rPr>
            </w:pPr>
            <w:r>
              <w:rPr>
                <w:rFonts w:ascii="Arial" w:cs="Arial" w:eastAsia="Arial" w:hAnsi="Arial"/>
                <w:sz w:val="14"/>
                <w:szCs w:val="14"/>
                <w:b w:val="1"/>
                <w:bCs w:val="1"/>
                <w:color w:val="auto"/>
                <w:w w:val="92"/>
              </w:rPr>
              <w:t>Notional</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jc w:val="center"/>
              <w:ind w:right="358"/>
              <w:spacing w:after="0" w:line="149" w:lineRule="exact"/>
              <w:rPr>
                <w:sz w:val="20"/>
                <w:szCs w:val="20"/>
                <w:color w:val="auto"/>
              </w:rPr>
            </w:pPr>
            <w:r>
              <w:rPr>
                <w:rFonts w:ascii="Arial" w:cs="Arial" w:eastAsia="Arial" w:hAnsi="Arial"/>
                <w:sz w:val="14"/>
                <w:szCs w:val="14"/>
                <w:b w:val="1"/>
                <w:bCs w:val="1"/>
                <w:color w:val="auto"/>
                <w:w w:val="97"/>
              </w:rPr>
              <w:t>Contract</w:t>
            </w:r>
          </w:p>
        </w:tc>
        <w:tc>
          <w:tcPr>
            <w:tcW w:w="0" w:type="dxa"/>
            <w:vAlign w:val="bottom"/>
          </w:tcPr>
          <w:p>
            <w:pPr>
              <w:spacing w:after="0"/>
              <w:rPr>
                <w:sz w:val="1"/>
                <w:szCs w:val="1"/>
                <w:color w:val="auto"/>
              </w:rPr>
            </w:pPr>
          </w:p>
        </w:tc>
      </w:tr>
      <w:tr>
        <w:trPr>
          <w:trHeight w:val="149"/>
        </w:trPr>
        <w:tc>
          <w:tcPr>
            <w:tcW w:w="8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15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4"/>
              </w:rPr>
              <w:t>Amount</w:t>
            </w:r>
          </w:p>
        </w:tc>
        <w:tc>
          <w:tcPr>
            <w:tcW w:w="440" w:type="dxa"/>
            <w:vAlign w:val="bottom"/>
          </w:tcPr>
          <w:p>
            <w:pPr>
              <w:spacing w:after="0"/>
              <w:rPr>
                <w:sz w:val="12"/>
                <w:szCs w:val="12"/>
                <w:color w:val="auto"/>
              </w:rPr>
            </w:pPr>
          </w:p>
        </w:tc>
        <w:tc>
          <w:tcPr>
            <w:tcW w:w="1040" w:type="dxa"/>
            <w:vAlign w:val="bottom"/>
          </w:tcPr>
          <w:p>
            <w:pPr>
              <w:jc w:val="center"/>
              <w:ind w:right="338"/>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158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(Local Currency)</w:t>
            </w:r>
          </w:p>
        </w:tc>
        <w:tc>
          <w:tcPr>
            <w:tcW w:w="440" w:type="dxa"/>
            <w:vAlign w:val="bottom"/>
          </w:tcPr>
          <w:p>
            <w:pPr>
              <w:spacing w:after="0"/>
              <w:rPr>
                <w:sz w:val="16"/>
                <w:szCs w:val="16"/>
                <w:color w:val="auto"/>
              </w:rPr>
            </w:pPr>
          </w:p>
        </w:tc>
        <w:tc>
          <w:tcPr>
            <w:tcW w:w="1040" w:type="dxa"/>
            <w:vAlign w:val="bottom"/>
          </w:tcPr>
          <w:p>
            <w:pPr>
              <w:jc w:val="center"/>
              <w:ind w:right="338"/>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50"/>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Canadian</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250</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Euro</w:t>
            </w:r>
          </w:p>
        </w:tc>
        <w:tc>
          <w:tcPr>
            <w:tcW w:w="1580" w:type="dxa"/>
            <w:vAlign w:val="bottom"/>
          </w:tcPr>
          <w:p>
            <w:pPr>
              <w:jc w:val="right"/>
              <w:ind w:right="119"/>
              <w:spacing w:after="0"/>
              <w:rPr>
                <w:sz w:val="20"/>
                <w:szCs w:val="20"/>
                <w:color w:val="auto"/>
              </w:rPr>
            </w:pPr>
            <w:r>
              <w:rPr>
                <w:rFonts w:ascii="Arial" w:cs="Arial" w:eastAsia="Arial" w:hAnsi="Arial"/>
                <w:sz w:val="18"/>
                <w:szCs w:val="18"/>
                <w:color w:val="auto"/>
              </w:rPr>
              <w:t>350</w:t>
            </w:r>
          </w:p>
        </w:tc>
        <w:tc>
          <w:tcPr>
            <w:tcW w:w="44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 Zealand dollar</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5,900</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304"/>
        </w:trPr>
        <w:tc>
          <w:tcPr>
            <w:tcW w:w="83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South African rand</w:t>
            </w:r>
          </w:p>
        </w:tc>
        <w:tc>
          <w:tcPr>
            <w:tcW w:w="1580" w:type="dxa"/>
            <w:vAlign w:val="bottom"/>
            <w:tcBorders>
              <w:bottom w:val="single" w:sz="8" w:color="CCEEFF"/>
            </w:tcBorders>
          </w:tcPr>
          <w:p>
            <w:pPr>
              <w:jc w:val="right"/>
              <w:ind w:right="119"/>
              <w:spacing w:after="0"/>
              <w:rPr>
                <w:sz w:val="20"/>
                <w:szCs w:val="20"/>
                <w:color w:val="auto"/>
              </w:rPr>
            </w:pPr>
            <w:r>
              <w:rPr>
                <w:rFonts w:ascii="Arial" w:cs="Arial" w:eastAsia="Arial" w:hAnsi="Arial"/>
                <w:sz w:val="18"/>
                <w:szCs w:val="18"/>
                <w:color w:val="auto"/>
              </w:rPr>
              <w:t>5,746</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51"/>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of all currency forward contracts</w:t>
            </w:r>
          </w:p>
        </w:tc>
        <w:tc>
          <w:tcPr>
            <w:tcW w:w="15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Net foreign exchange (loss) income recorded in our unaudited condensed consolidated statements of operations during the three and nine months of fiscal 2018 and 2017 was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1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30,</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30,</w:t>
            </w:r>
          </w:p>
        </w:tc>
        <w:tc>
          <w:tcPr>
            <w:tcW w:w="220" w:type="dxa"/>
            <w:vAlign w:val="bottom"/>
          </w:tcPr>
          <w:p>
            <w:pPr>
              <w:spacing w:after="0"/>
              <w:rPr>
                <w:sz w:val="13"/>
                <w:szCs w:val="13"/>
                <w:color w:val="auto"/>
              </w:rPr>
            </w:pPr>
          </w:p>
        </w:tc>
        <w:tc>
          <w:tcPr>
            <w:tcW w:w="1040" w:type="dxa"/>
            <w:vAlign w:val="bottom"/>
          </w:tcPr>
          <w:p>
            <w:pPr>
              <w:jc w:val="right"/>
              <w:ind w:right="257"/>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 included in costs of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Amount included in other expense</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foreign exchange loss,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920" w:firstLine="486"/>
        <w:spacing w:after="0" w:line="277" w:lineRule="auto"/>
        <w:rPr>
          <w:sz w:val="20"/>
          <w:szCs w:val="20"/>
          <w:color w:val="auto"/>
        </w:rPr>
      </w:pPr>
      <w:r>
        <w:rPr>
          <w:rFonts w:ascii="Arial" w:cs="Arial" w:eastAsia="Arial" w:hAnsi="Arial"/>
          <w:sz w:val="18"/>
          <w:szCs w:val="18"/>
          <w:color w:val="auto"/>
        </w:rPr>
        <w:t>A 10% adverse change in currency exchange rates for our foreign currency derivatives held as of March 30, 2018 would have an impact of approximately $0.5 million on the fair value of such instruments.</w:t>
      </w:r>
    </w:p>
    <w:p>
      <w:pPr>
        <w:spacing w:after="0" w:line="116"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Certain of our international business are transacted in non-U.S. dollar currency. As discussed above, we utilize foreign currency hedging instruments to minimize the currency risk of international transactions. The impact of translating the assets and liabilities of foreign operations to U.S. dollars for the first nine months of fiscal 2018 was $0.8 million and was included as a component of stockholders’ equity. As of March 30, 2018 and June 30, 2017, the cumulative translation adjustment decreased our equity by $11.0 million and $11.8 million,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5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exposure to market risk for changes in interest rates relates primarily to our cash equivalents and borrowings under our credit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Cash Equivalents and Short-term Investments</w:t>
      </w:r>
    </w:p>
    <w:p>
      <w:pPr>
        <w:spacing w:after="0" w:line="171"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color w:val="auto"/>
        </w:rPr>
        <w:t>We had $38.8 million in total cash, cash equivalents and short-term investments as of March 30, 2018. Cash equivalents and short-term investments totaled $18.1 million as of March 30, 2018 and were comprised of money market funds and bank certificates of deposit. Cash equivalents and short-term investments have been recorded at fair value on our balance sheet.</w:t>
      </w:r>
    </w:p>
    <w:p>
      <w:pPr>
        <w:spacing w:after="0" w:line="12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Our cash equivalents and short-term investments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and short-term investments held as of March 30, 2018 was 71 days, and these investments had an average yield of 7.12% per annum. A 10% change in interest rates on our cash equivalents and short-term investments is not expected to have a material impact on our financial position, results of operations or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Borrowings</w:t>
      </w:r>
    </w:p>
    <w:p>
      <w:pPr>
        <w:spacing w:after="0" w:line="171" w:lineRule="exact"/>
        <w:rPr>
          <w:sz w:val="20"/>
          <w:szCs w:val="20"/>
          <w:color w:val="auto"/>
        </w:rPr>
      </w:pPr>
    </w:p>
    <w:p>
      <w:pPr>
        <w:jc w:val="both"/>
        <w:ind w:right="180" w:firstLine="486"/>
        <w:spacing w:after="0" w:line="264" w:lineRule="auto"/>
        <w:rPr>
          <w:sz w:val="20"/>
          <w:szCs w:val="20"/>
          <w:color w:val="auto"/>
        </w:rPr>
      </w:pPr>
      <w:r>
        <w:rPr>
          <w:rFonts w:ascii="Arial" w:cs="Arial" w:eastAsia="Arial" w:hAnsi="Arial"/>
          <w:sz w:val="18"/>
          <w:szCs w:val="18"/>
          <w:color w:val="auto"/>
        </w:rPr>
        <w:t>During the first nine months of fiscal 2018, we had $9.0 million of borrowings outstanding under the SVB Credit Facility that incurred interest at the prime rate plus a spread of 0.50% to 1.50% with such spread determined based on our adjusted quick ratio. During the first nine months of fiscal 2018, our weighted average interest rate was 4.90% and the interest expense on these borrowings was insignificant.</w:t>
      </w:r>
    </w:p>
    <w:p>
      <w:pPr>
        <w:spacing w:after="0" w:line="127" w:lineRule="exact"/>
        <w:rPr>
          <w:sz w:val="20"/>
          <w:szCs w:val="20"/>
          <w:color w:val="auto"/>
        </w:rPr>
      </w:pPr>
    </w:p>
    <w:p>
      <w:pPr>
        <w:jc w:val="both"/>
        <w:ind w:right="180" w:firstLine="486"/>
        <w:spacing w:after="0" w:line="277"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Based on management’s evaluation, with participation of our Chief Executive Officer (CEO) and Chief Financial Officer (CFO), as of the end of the period covered by this report, our CEO and CFO have concluded that our disclosure controls and procedures, as defined in Rules 13a-15(e) and 15d-15(e) under the Securities Exchange Act of 1934, as amended (the “Exchange Act”), as of March 30, 2018, are effective to provide reasonable assurance that the information required to be disclosed in reports that we file or submit under the Exchange Act is recorded, processed, summarized and reported within the time periods specified in the Securities and Exchange Commission rules and forms, and is accumulated and communicated to management, including our principal executive officer and principal financial officer, as appropriate to allow timely decisions regarding required disclosures.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71" w:lineRule="exact"/>
        <w:rPr>
          <w:sz w:val="20"/>
          <w:szCs w:val="20"/>
          <w:color w:val="auto"/>
        </w:rPr>
      </w:pPr>
    </w:p>
    <w:p>
      <w:pPr>
        <w:ind w:right="320" w:firstLine="486"/>
        <w:spacing w:after="0" w:line="308" w:lineRule="auto"/>
        <w:rPr>
          <w:sz w:val="20"/>
          <w:szCs w:val="20"/>
          <w:color w:val="auto"/>
        </w:rPr>
      </w:pPr>
      <w:r>
        <w:rPr>
          <w:rFonts w:ascii="Arial" w:cs="Arial" w:eastAsia="Arial" w:hAnsi="Arial"/>
          <w:sz w:val="17"/>
          <w:szCs w:val="17"/>
          <w:color w:val="auto"/>
        </w:rPr>
        <w:t>There were no changes to our internal control over financial reporting as defined in Rules 13a-15(f) or 15d-15(f) that occurred during our first nine months of fiscal 2018 that have materially affected, or are reasonably likely to materially affect, our internal control over financial reporting.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71"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Our management, including the CEO and CFO,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796" w:right="25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Over time, controls may become inadequate because of changes in conditions or deterioration in the degree of compliance with policies or procedures.</w:t>
      </w:r>
    </w:p>
    <w:p>
      <w:pPr>
        <w:sectPr>
          <w:pgSz w:w="11900" w:h="16838" w:orient="portrait"/>
          <w:cols w:equalWidth="0" w:num="1">
            <w:col w:w="10840"/>
          </w:cols>
          <w:pgMar w:left="240" w:top="746" w:right="819" w:bottom="1440" w:gutter="0" w:footer="0" w:header="0"/>
        </w:sectPr>
      </w:pP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840"/>
          </w:cols>
          <w:pgMar w:left="240" w:top="746" w:right="819" w:bottom="1440" w:gutter="0" w:footer="0" w:header="0"/>
          <w:type w:val="continuous"/>
        </w:sectPr>
      </w:pPr>
    </w:p>
    <w:bookmarkStart w:id="29" w:name="page30"/>
    <w:bookmarkEnd w:id="29"/>
    <w:p>
      <w:pPr>
        <w:jc w:val="center"/>
        <w:ind w:right="-19"/>
        <w:spacing w:after="0"/>
        <w:tabs>
          <w:tab w:leader="none" w:pos="200" w:val="left"/>
        </w:tabs>
        <w:rPr>
          <w:sz w:val="20"/>
          <w:szCs w:val="20"/>
          <w:color w:val="auto"/>
        </w:rPr>
      </w:pPr>
      <w:r>
        <w:rPr>
          <w:rFonts w:ascii="Arial" w:cs="Arial" w:eastAsia="Arial" w:hAnsi="Arial"/>
          <w:sz w:val="18"/>
          <w:szCs w:val="18"/>
          <w:b w:val="1"/>
          <w:bCs w:val="1"/>
          <w:color w:val="auto"/>
        </w:rPr>
        <w:t>PART II.</w:t>
        <w:tab/>
        <w:t>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Please refer to Legal Proceedings under Note 10 Commitments and Contingencies of the Notes to Condensed Consolidated Financial Statements (Unaudited) in this Quarterly Report on Form 10-Q.</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2017 Annual Report on Form 10-K filed with the SEC on September 6, 2017.</w:t>
      </w:r>
    </w:p>
    <w:p>
      <w:pPr>
        <w:spacing w:after="0" w:line="127"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We do not believe that there have been any other material additions or changes to the risk factors previously disclosed in our fiscal 2017 Annual Report on Form 10-K,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jc w:val="center"/>
        <w:ind w:right="9360"/>
        <w:spacing w:after="0"/>
        <w:rPr>
          <w:sz w:val="20"/>
          <w:szCs w:val="20"/>
          <w:color w:val="auto"/>
        </w:rPr>
      </w:pPr>
      <w:r>
        <w:rPr>
          <w:rFonts w:ascii="Arial" w:cs="Arial" w:eastAsia="Arial" w:hAnsi="Arial"/>
          <w:sz w:val="17"/>
          <w:szCs w:val="17"/>
          <w:b w:val="1"/>
          <w:bCs w:val="1"/>
          <w:color w:val="auto"/>
        </w:rPr>
        <w:t>Item 5. Other Information</w:t>
      </w:r>
    </w:p>
    <w:p>
      <w:pPr>
        <w:spacing w:after="0" w:line="187" w:lineRule="exact"/>
        <w:rPr>
          <w:sz w:val="20"/>
          <w:szCs w:val="20"/>
          <w:color w:val="auto"/>
        </w:rPr>
      </w:pPr>
    </w:p>
    <w:p>
      <w:pPr>
        <w:jc w:val="center"/>
        <w:ind w:right="93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information required by this Item is set forth on the Exhibit Index (following the Signature section of this report) and is included, or incorporated by reference, in this Form 10-Q.</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904" w:right="259" w:bottom="1440" w:gutter="0" w:footer="0" w:header="0"/>
        </w:sectPr>
      </w:pPr>
    </w:p>
    <w:bookmarkStart w:id="30" w:name="page31"/>
    <w:bookmarkEnd w:id="30"/>
    <w:p>
      <w:pPr>
        <w:jc w:val="center"/>
        <w:ind w:right="-9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AVIAT NETWORKS, INC.</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14, 2018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2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31750</wp:posOffset>
            </wp:positionV>
            <wp:extent cx="3310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Eric Chang</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Vice President, Corporate Controller and Principal Accounting Officer</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accounting officer and duly authorized officer)</w:t>
      </w:r>
    </w:p>
    <w:p>
      <w:pPr>
        <w:spacing w:after="0" w:line="200" w:lineRule="exact"/>
        <w:rPr>
          <w:sz w:val="20"/>
          <w:szCs w:val="20"/>
          <w:color w:val="auto"/>
        </w:rPr>
      </w:pP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796"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20" w:type="dxa"/>
            <w:vAlign w:val="bottom"/>
            <w:gridSpan w:val="12"/>
          </w:tcPr>
          <w:p>
            <w:pPr>
              <w:jc w:val="center"/>
              <w:ind w:right="178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1420" w:type="dxa"/>
            <w:vAlign w:val="bottom"/>
            <w:gridSpan w:val="16"/>
          </w:tcPr>
          <w:p>
            <w:pPr>
              <w:ind w:left="50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tc>
      </w:tr>
      <w:tr>
        <w:trPr>
          <w:trHeight w:val="399"/>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40" w:type="dxa"/>
            <w:vAlign w:val="bottom"/>
            <w:gridSpan w:val="10"/>
          </w:tcPr>
          <w:p>
            <w:pPr>
              <w:ind w:left="180"/>
              <w:spacing w:after="0"/>
              <w:rPr>
                <w:sz w:val="20"/>
                <w:szCs w:val="20"/>
                <w:color w:val="auto"/>
              </w:rPr>
            </w:pPr>
            <w:r>
              <w:rPr>
                <w:rFonts w:ascii="Arial" w:cs="Arial" w:eastAsia="Arial" w:hAnsi="Arial"/>
                <w:sz w:val="14"/>
                <w:szCs w:val="14"/>
                <w:b w:val="1"/>
                <w:bCs w:val="1"/>
                <w:color w:val="auto"/>
              </w:rPr>
              <w:t>Descriptions</w:t>
            </w:r>
          </w:p>
        </w:tc>
      </w:tr>
      <w:tr>
        <w:trPr>
          <w:trHeight w:val="202"/>
        </w:trPr>
        <w:tc>
          <w:tcPr>
            <w:tcW w:w="1160" w:type="dxa"/>
            <w:vAlign w:val="bottom"/>
            <w:tcBorders>
              <w:top w:val="single" w:sz="8" w:color="auto"/>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9720" w:type="dxa"/>
            <w:vAlign w:val="bottom"/>
            <w:tcBorders>
              <w:top w:val="single" w:sz="8" w:color="auto"/>
              <w:bottom w:val="single" w:sz="8" w:color="0000FF"/>
            </w:tcBorders>
            <w:gridSpan w:val="9"/>
            <w:shd w:val="clear" w:color="auto" w:fill="CCEEFF"/>
          </w:tcPr>
          <w:p>
            <w:pPr>
              <w:spacing w:after="0" w:line="202"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Amended and Restated Certificate of Incorporation of Aviat Networks, Inc., as amended (incorporate by reference to Exhibit 3.1 to the</w:t>
              </w:r>
            </w:hyperlink>
          </w:p>
        </w:tc>
        <w:tc>
          <w:tcPr>
            <w:tcW w:w="400" w:type="dxa"/>
            <w:vAlign w:val="bottom"/>
            <w:tcBorders>
              <w:top w:val="single" w:sz="8" w:color="auto"/>
              <w:bottom w:val="single" w:sz="8" w:color="CCEEFF"/>
            </w:tcBorders>
            <w:gridSpan w:val="4"/>
            <w:shd w:val="clear" w:color="auto" w:fill="CCEEFF"/>
          </w:tcPr>
          <w:p>
            <w:pPr>
              <w:spacing w:after="0"/>
              <w:rPr>
                <w:sz w:val="17"/>
                <w:szCs w:val="17"/>
                <w:color w:val="auto"/>
              </w:rPr>
            </w:pPr>
          </w:p>
        </w:tc>
      </w:tr>
      <w:tr>
        <w:trPr>
          <w:trHeight w:val="244"/>
        </w:trPr>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0000FF"/>
            </w:tcBorders>
            <w:gridSpan w:val="7"/>
            <w:shd w:val="clear" w:color="auto" w:fill="CCEEFF"/>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Current Report on Form 10-Q filed with the SEC on February 10, 2017, File No. 001-33278)</w:t>
              </w:r>
            </w:hyperlink>
          </w:p>
        </w:tc>
        <w:tc>
          <w:tcPr>
            <w:tcW w:w="3420" w:type="dxa"/>
            <w:vAlign w:val="bottom"/>
            <w:tcBorders>
              <w:bottom w:val="single" w:sz="8" w:color="CCEEFF"/>
            </w:tcBorders>
            <w:gridSpan w:val="6"/>
            <w:shd w:val="clear" w:color="auto" w:fill="CCEEFF"/>
          </w:tcPr>
          <w:p>
            <w:pPr>
              <w:spacing w:after="0"/>
              <w:rPr>
                <w:sz w:val="21"/>
                <w:szCs w:val="21"/>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20" w:type="dxa"/>
            <w:vAlign w:val="bottom"/>
            <w:tcBorders>
              <w:bottom w:val="single" w:sz="8" w:color="0000FF"/>
            </w:tcBorders>
            <w:gridSpan w:val="10"/>
          </w:tcPr>
          <w:p>
            <w:pPr>
              <w:spacing w:after="0" w:line="202"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Amended and Restated Bylaws of Aviat Networks, Inc. (incorporate by reference to Exhibit 3.2 to the Current Report on Form 8-K filed</w:t>
              </w:r>
            </w:hyperlink>
          </w:p>
        </w:tc>
        <w:tc>
          <w:tcPr>
            <w:tcW w:w="300" w:type="dxa"/>
            <w:vAlign w:val="bottom"/>
            <w:gridSpan w:val="3"/>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3"/>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with the SEC on October 2, 2015, File No. 001-33278)</w:t>
              </w:r>
            </w:hyperlink>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346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3"/>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700" w:type="dxa"/>
            <w:vAlign w:val="bottom"/>
            <w:tcBorders>
              <w:bottom w:val="single" w:sz="8" w:color="0000FF"/>
            </w:tcBorders>
            <w:gridSpan w:val="8"/>
            <w:shd w:val="clear" w:color="auto" w:fill="CCEEFF"/>
          </w:tcPr>
          <w:p>
            <w:pPr>
              <w:spacing w:after="0" w:line="202" w:lineRule="exact"/>
              <w:rPr>
                <w:rFonts w:ascii="Arial" w:cs="Arial" w:eastAsia="Arial" w:hAnsi="Arial"/>
                <w:sz w:val="18"/>
                <w:szCs w:val="18"/>
                <w:color w:val="0000FF"/>
                <w:w w:val="89"/>
              </w:rPr>
            </w:pPr>
            <w:hyperlink r:id="rId18">
              <w:r>
                <w:rPr>
                  <w:rFonts w:ascii="Arial" w:cs="Arial" w:eastAsia="Arial" w:hAnsi="Arial"/>
                  <w:sz w:val="18"/>
                  <w:szCs w:val="18"/>
                  <w:color w:val="0000FF"/>
                  <w:w w:val="89"/>
                </w:rPr>
                <w:t>Tax Benefit Preservation Plan, dated as of September 6, 2016, by and between Aviat Networks, Inc. and Computershare Inc., as Rights</w:t>
              </w:r>
            </w:hyperlink>
          </w:p>
        </w:tc>
        <w:tc>
          <w:tcPr>
            <w:tcW w:w="420" w:type="dxa"/>
            <w:vAlign w:val="bottom"/>
            <w:tcBorders>
              <w:bottom w:val="single" w:sz="8" w:color="CCEEFF"/>
            </w:tcBorders>
            <w:gridSpan w:val="5"/>
            <w:shd w:val="clear" w:color="auto" w:fill="CCEEFF"/>
          </w:tcPr>
          <w:p>
            <w:pPr>
              <w:spacing w:after="0"/>
              <w:rPr>
                <w:sz w:val="17"/>
                <w:szCs w:val="17"/>
                <w:color w:val="auto"/>
              </w:rPr>
            </w:pP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0000FF"/>
            </w:tcBorders>
            <w:gridSpan w:val="12"/>
            <w:shd w:val="clear" w:color="auto" w:fill="CCEEFF"/>
          </w:tcPr>
          <w:p>
            <w:pPr>
              <w:spacing w:after="0" w:line="196"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Agent (incorporated by reference to Exhibit 4.1 to the Current Report on Form 8-K filed with the SEC on September 7, 2016, File No. 011-</w:t>
              </w:r>
            </w:hyperlink>
          </w:p>
        </w:tc>
        <w:tc>
          <w:tcPr>
            <w:tcW w:w="80" w:type="dxa"/>
            <w:vAlign w:val="bottom"/>
            <w:tcBorders>
              <w:bottom w:val="single" w:sz="8" w:color="CCEEFF"/>
            </w:tcBorders>
            <w:shd w:val="clear" w:color="auto" w:fill="CCEEFF"/>
          </w:tcPr>
          <w:p>
            <w:pPr>
              <w:spacing w:after="0"/>
              <w:rPr>
                <w:sz w:val="17"/>
                <w:szCs w:val="17"/>
                <w:color w:val="auto"/>
              </w:rPr>
            </w:pPr>
          </w:p>
        </w:tc>
      </w:tr>
      <w:tr>
        <w:trPr>
          <w:trHeight w:val="196"/>
        </w:trPr>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0" w:type="dxa"/>
            <w:vAlign w:val="bottom"/>
            <w:gridSpan w:val="3"/>
            <w:shd w:val="clear" w:color="auto" w:fill="CCEEFF"/>
          </w:tcPr>
          <w:p>
            <w:pPr>
              <w:ind w:left="40"/>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33278)</w:t>
              </w:r>
            </w:hyperlink>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34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20" w:type="dxa"/>
            <w:vAlign w:val="bottom"/>
            <w:tcBorders>
              <w:bottom w:val="single" w:sz="8" w:color="0000FF"/>
            </w:tcBorders>
            <w:gridSpan w:val="11"/>
          </w:tcPr>
          <w:p>
            <w:pPr>
              <w:spacing w:after="0" w:line="202"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Aviat Networks, Inc. 2018 Incentive Plan (incorporated by reference to Appendix A to the Registrant’s Proxy Statement on Schedule 14A</w:t>
              </w:r>
            </w:hyperlink>
          </w:p>
        </w:tc>
        <w:tc>
          <w:tcPr>
            <w:tcW w:w="20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3"/>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filed with the SEC on February 12, 2018, File No. 001-33278)</w:t>
              </w:r>
            </w:hyperlink>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34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0"/>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0000FF"/>
            </w:tcBorders>
            <w:gridSpan w:val="5"/>
            <w:shd w:val="clear" w:color="auto" w:fill="CCEEFF"/>
          </w:tcPr>
          <w:p>
            <w:pPr>
              <w:spacing w:after="0" w:line="202" w:lineRule="exact"/>
              <w:rPr>
                <w:rFonts w:ascii="Arial" w:cs="Arial" w:eastAsia="Arial" w:hAnsi="Arial"/>
                <w:sz w:val="18"/>
                <w:szCs w:val="18"/>
                <w:color w:val="0000FF"/>
                <w:w w:val="92"/>
              </w:rPr>
            </w:pPr>
            <w:hyperlink w:anchor="page33">
              <w:r>
                <w:rPr>
                  <w:rFonts w:ascii="Arial" w:cs="Arial" w:eastAsia="Arial" w:hAnsi="Arial"/>
                  <w:sz w:val="18"/>
                  <w:szCs w:val="18"/>
                  <w:color w:val="0000FF"/>
                  <w:w w:val="92"/>
                </w:rPr>
                <w:t>Rule 13a-14(a)/15d-14(a) Certification of Chief Executive Officer</w:t>
              </w:r>
            </w:hyperlink>
          </w:p>
        </w:tc>
        <w:tc>
          <w:tcPr>
            <w:tcW w:w="5360" w:type="dxa"/>
            <w:vAlign w:val="bottom"/>
            <w:tcBorders>
              <w:bottom w:val="single" w:sz="8" w:color="CCEEFF"/>
            </w:tcBorders>
            <w:gridSpan w:val="8"/>
            <w:shd w:val="clear" w:color="auto" w:fill="CCEEFF"/>
          </w:tcPr>
          <w:p>
            <w:pPr>
              <w:spacing w:after="0"/>
              <w:rPr>
                <w:sz w:val="21"/>
                <w:szCs w:val="21"/>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3"/>
          </w:tcPr>
          <w:p>
            <w:pPr>
              <w:spacing w:after="0" w:line="202" w:lineRule="exact"/>
              <w:rPr>
                <w:rFonts w:ascii="Arial" w:cs="Arial" w:eastAsia="Arial" w:hAnsi="Arial"/>
                <w:sz w:val="18"/>
                <w:szCs w:val="18"/>
                <w:color w:val="0000FF"/>
              </w:rPr>
            </w:pPr>
            <w:hyperlink w:anchor="page34">
              <w:r>
                <w:rPr>
                  <w:rFonts w:ascii="Arial" w:cs="Arial" w:eastAsia="Arial" w:hAnsi="Arial"/>
                  <w:sz w:val="18"/>
                  <w:szCs w:val="18"/>
                  <w:color w:val="0000FF"/>
                </w:rPr>
                <w:t>Rule 13a-14(a)/15d-14(a) Certification of Chief Financial Officer</w:t>
              </w:r>
            </w:hyperlink>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34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120" w:type="dxa"/>
            <w:vAlign w:val="bottom"/>
            <w:gridSpan w:val="13"/>
            <w:shd w:val="clear" w:color="auto" w:fill="CCEEFF"/>
          </w:tcPr>
          <w:p>
            <w:pPr>
              <w:spacing w:after="0" w:line="202" w:lineRule="exact"/>
              <w:rPr>
                <w:rFonts w:ascii="Arial" w:cs="Arial" w:eastAsia="Arial" w:hAnsi="Arial"/>
                <w:sz w:val="18"/>
                <w:szCs w:val="18"/>
                <w:color w:val="0000FF"/>
              </w:rPr>
            </w:pPr>
            <w:hyperlink w:anchor="page35">
              <w:r>
                <w:rPr>
                  <w:rFonts w:ascii="Arial" w:cs="Arial" w:eastAsia="Arial" w:hAnsi="Arial"/>
                  <w:sz w:val="18"/>
                  <w:szCs w:val="18"/>
                  <w:color w:val="0000FF"/>
                </w:rPr>
                <w:t>Section 1350 Certification of Chief Executive Officer and Chief Financial Officer</w:t>
              </w:r>
            </w:hyperlink>
          </w:p>
        </w:tc>
      </w:tr>
      <w:tr>
        <w:trPr>
          <w:trHeight w:val="243"/>
        </w:trPr>
        <w:tc>
          <w:tcPr>
            <w:tcW w:w="126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color w:val="auto"/>
              </w:rPr>
              <w:t>101.INS</w:t>
            </w:r>
          </w:p>
        </w:tc>
        <w:tc>
          <w:tcPr>
            <w:tcW w:w="40" w:type="dxa"/>
            <w:vAlign w:val="bottom"/>
            <w:tcBorders>
              <w:top w:val="single" w:sz="8" w:color="CCEEFF"/>
            </w:tcBorders>
          </w:tcPr>
          <w:p>
            <w:pPr>
              <w:spacing w:after="0"/>
              <w:rPr>
                <w:sz w:val="21"/>
                <w:szCs w:val="21"/>
                <w:color w:val="auto"/>
              </w:rPr>
            </w:pPr>
          </w:p>
        </w:tc>
        <w:tc>
          <w:tcPr>
            <w:tcW w:w="588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XBRL Instance Document</w:t>
            </w:r>
          </w:p>
        </w:tc>
        <w:tc>
          <w:tcPr>
            <w:tcW w:w="4240" w:type="dxa"/>
            <w:vAlign w:val="bottom"/>
            <w:tcBorders>
              <w:top w:val="single" w:sz="8" w:color="CCEEFF"/>
            </w:tcBorders>
            <w:gridSpan w:val="7"/>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3"/>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1"/>
                <w:szCs w:val="21"/>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3"/>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1"/>
                <w:szCs w:val="21"/>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3"/>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75"/>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gridSpan w:val="5"/>
          </w:tcPr>
          <w:p>
            <w:pPr>
              <w:jc w:val="right"/>
              <w:ind w:right="128"/>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Michael A. Pangia, certify that:</w:t>
      </w:r>
    </w:p>
    <w:p>
      <w:pPr>
        <w:spacing w:after="0" w:line="17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March 30, 2018,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May 14, 2018</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Ralph Marimon, certify that:</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March 30, 2018,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May 14, 2018</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/s/ Ralph S. Marimon</w:t>
            </w:r>
          </w:p>
        </w:tc>
      </w:tr>
      <w:tr>
        <w:trPr>
          <w:trHeight w:val="27"/>
        </w:trPr>
        <w:tc>
          <w:tcPr>
            <w:tcW w:w="56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660" w:type="dxa"/>
            <w:vAlign w:val="bottom"/>
          </w:tcPr>
          <w:p>
            <w:pPr>
              <w:ind w:left="200"/>
              <w:spacing w:after="0"/>
              <w:rPr>
                <w:sz w:val="20"/>
                <w:szCs w:val="20"/>
                <w:color w:val="auto"/>
              </w:rPr>
            </w:pPr>
            <w:r>
              <w:rPr>
                <w:rFonts w:ascii="Arial" w:cs="Arial" w:eastAsia="Arial" w:hAnsi="Arial"/>
                <w:sz w:val="18"/>
                <w:szCs w:val="18"/>
                <w:color w:val="auto"/>
              </w:rPr>
              <w:t>Ralph S. Marimon</w:t>
            </w:r>
          </w:p>
        </w:tc>
      </w:tr>
      <w:tr>
        <w:trPr>
          <w:trHeight w:val="256"/>
        </w:trPr>
        <w:tc>
          <w:tcPr>
            <w:tcW w:w="5680" w:type="dxa"/>
            <w:vAlign w:val="bottom"/>
          </w:tcPr>
          <w:p>
            <w:pPr>
              <w:spacing w:after="0"/>
              <w:rPr>
                <w:sz w:val="22"/>
                <w:szCs w:val="22"/>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660" w:type="dxa"/>
            <w:vAlign w:val="bottom"/>
          </w:tcPr>
          <w:p>
            <w:pPr>
              <w:ind w:left="200"/>
              <w:spacing w:after="0"/>
              <w:rPr>
                <w:sz w:val="20"/>
                <w:szCs w:val="20"/>
                <w:color w:val="auto"/>
              </w:rPr>
            </w:pPr>
            <w:r>
              <w:rPr>
                <w:rFonts w:ascii="Arial" w:cs="Arial" w:eastAsia="Arial" w:hAnsi="Arial"/>
                <w:sz w:val="18"/>
                <w:szCs w:val="18"/>
                <w:color w:val="auto"/>
                <w:w w:val="94"/>
              </w:rPr>
              <w:t>Senior Vice President and Chief Financial Officer, Principal</w:t>
            </w:r>
          </w:p>
        </w:tc>
      </w:tr>
      <w:tr>
        <w:trPr>
          <w:trHeight w:val="230"/>
        </w:trPr>
        <w:tc>
          <w:tcPr>
            <w:tcW w:w="5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Financial Officer</w:t>
            </w:r>
          </w:p>
        </w:tc>
      </w:tr>
    </w:tbl>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 of Aviat Networks,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Code as Adopted Pursuant to Section 906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5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filing of the Quarterly Report on Form 10-Q of Aviat Networks, Inc. (“Aviat Networks”) for the fiscal quarter ended March 30, 2018, as filed with the Securities and Exchange Commission on the date hereof (the “Report”), we, Michael A. Pangia, President and Chief Executive Officer of Aviat Networks, and Ralph S. Marimon, Senior Vice President and Chief Financial Officer, Principal Financial Officer of Aviat Networks, hereby certify, pursuant to Section 906 of the Sarbanes-Oxley Act of 2002, 18 U.S.C. §1350, that:</w:t>
      </w:r>
    </w:p>
    <w:p>
      <w:pPr>
        <w:spacing w:after="0" w:line="146"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as amended; and</w:t>
      </w:r>
    </w:p>
    <w:p>
      <w:pPr>
        <w:spacing w:after="0" w:line="196" w:lineRule="exact"/>
        <w:rPr>
          <w:rFonts w:ascii="Arial" w:cs="Arial" w:eastAsia="Arial" w:hAnsi="Arial"/>
          <w:sz w:val="17"/>
          <w:szCs w:val="17"/>
          <w:color w:val="auto"/>
        </w:rPr>
      </w:pPr>
    </w:p>
    <w:p>
      <w:pPr>
        <w:ind w:right="60" w:firstLine="8"/>
        <w:spacing w:after="0" w:line="277" w:lineRule="auto"/>
        <w:tabs>
          <w:tab w:leader="none" w:pos="38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tabs>
          <w:tab w:leader="none" w:pos="600" w:val="left"/>
          <w:tab w:leader="none" w:pos="6060" w:val="left"/>
        </w:tabs>
        <w:rPr>
          <w:sz w:val="20"/>
          <w:szCs w:val="20"/>
          <w:color w:val="auto"/>
        </w:rPr>
      </w:pPr>
      <w:r>
        <w:rPr>
          <w:rFonts w:ascii="Arial" w:cs="Arial" w:eastAsia="Arial" w:hAnsi="Arial"/>
          <w:sz w:val="18"/>
          <w:szCs w:val="18"/>
          <w:color w:val="auto"/>
        </w:rPr>
        <w:t>Date:</w:t>
        <w:tab/>
        <w:t>May 14, 2018</w:t>
      </w:r>
      <w:r>
        <w:rPr>
          <w:sz w:val="20"/>
          <w:szCs w:val="20"/>
          <w:color w:val="auto"/>
        </w:rPr>
        <w:tab/>
      </w:r>
      <w:r>
        <w:rPr>
          <w:rFonts w:ascii="Arial" w:cs="Arial" w:eastAsia="Arial" w:hAnsi="Arial"/>
          <w:sz w:val="16"/>
          <w:szCs w:val="16"/>
          <w:color w:val="auto"/>
        </w:rPr>
        <w:t>/s/ 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Michael A. Pangia</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May 14, 2018</w:t>
      </w:r>
    </w:p>
    <w:p>
      <w:pPr>
        <w:ind w:left="6080"/>
        <w:spacing w:after="0"/>
        <w:rPr>
          <w:sz w:val="20"/>
          <w:szCs w:val="20"/>
          <w:color w:val="auto"/>
        </w:rPr>
      </w:pPr>
      <w:r>
        <w:rPr>
          <w:rFonts w:ascii="Arial" w:cs="Arial" w:eastAsia="Arial" w:hAnsi="Arial"/>
          <w:sz w:val="18"/>
          <w:szCs w:val="18"/>
          <w:color w:val="auto"/>
        </w:rPr>
        <w:t>/s/ Ralph S. Marimon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21590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Ralph S. Marimon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Senior Vice President and Chief Financial Officer, Principal</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16" Type="http://schemas.openxmlformats.org/officeDocument/2006/relationships/hyperlink" Target="http://www.sec.gov/Archives/edgar/data/1377789/000137778917000022/avnwexhibit31amendedandres.htm" TargetMode="External"/><Relationship Id="rId17" Type="http://schemas.openxmlformats.org/officeDocument/2006/relationships/hyperlink" Target="http://www.sec.gov/Archives/edgar/data/1377789/000137778915000082/exhibit_aviatamendedandres.htm" TargetMode="External"/><Relationship Id="rId18" Type="http://schemas.openxmlformats.org/officeDocument/2006/relationships/hyperlink" Target="http://www.sec.gov/Archives/edgar/data/1377789/000119312516702547/d254391dex41.htm" TargetMode="External"/><Relationship Id="rId19" Type="http://schemas.openxmlformats.org/officeDocument/2006/relationships/hyperlink" Target="http://www.sec.gov/Archives/edgar/data/1377789/000137778918000016/aviatannualproxyfy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2019-12-28T22:04:08Z</dcterms:created>
  <dcterms:modified xsi:type="dcterms:W3CDTF">2019-12-28T22:04:08Z</dcterms:modified>
</cp:coreProperties>
</file>